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2D1E1" w14:textId="77777777" w:rsidR="00A90CC9" w:rsidRPr="001C5D05" w:rsidRDefault="10935CA8" w:rsidP="10935CA8">
      <w:pPr>
        <w:pStyle w:val="NormalWeb"/>
        <w:spacing w:before="0" w:beforeAutospacing="0" w:after="0" w:afterAutospacing="0" w:line="480" w:lineRule="auto"/>
        <w:rPr>
          <w:rFonts w:asciiTheme="minorHAnsi" w:hAnsiTheme="minorHAnsi" w:cstheme="minorBidi"/>
          <w:b/>
          <w:bCs/>
          <w:sz w:val="24"/>
          <w:szCs w:val="24"/>
        </w:rPr>
      </w:pPr>
      <w:r w:rsidRPr="001C5D05">
        <w:rPr>
          <w:rFonts w:asciiTheme="minorHAnsi" w:hAnsiTheme="minorHAnsi" w:cstheme="minorBidi"/>
          <w:b/>
          <w:bCs/>
          <w:sz w:val="24"/>
          <w:szCs w:val="24"/>
        </w:rPr>
        <w:t xml:space="preserve">Women, drugs and the death penalty: framing Sandiford </w:t>
      </w:r>
    </w:p>
    <w:p w14:paraId="33750D07" w14:textId="77777777" w:rsidR="00773F10" w:rsidRPr="001C5D05" w:rsidRDefault="00773F10" w:rsidP="00773F10">
      <w:pPr>
        <w:pStyle w:val="NormalWeb"/>
        <w:spacing w:before="0" w:beforeAutospacing="0" w:after="0" w:afterAutospacing="0" w:line="360" w:lineRule="auto"/>
        <w:rPr>
          <w:rFonts w:asciiTheme="minorHAnsi" w:hAnsiTheme="minorHAnsi"/>
          <w:sz w:val="24"/>
          <w:szCs w:val="24"/>
        </w:rPr>
      </w:pPr>
      <w:r w:rsidRPr="001C5D05">
        <w:rPr>
          <w:rFonts w:asciiTheme="minorHAnsi" w:hAnsiTheme="minorHAnsi"/>
          <w:sz w:val="24"/>
          <w:szCs w:val="24"/>
        </w:rPr>
        <w:t xml:space="preserve">Jennifer Fleetwood and Lizzie Seal </w:t>
      </w:r>
      <w:r w:rsidRPr="001C5D05">
        <w:rPr>
          <w:rFonts w:asciiTheme="minorHAnsi" w:hAnsiTheme="minorHAnsi"/>
          <w:sz w:val="24"/>
          <w:szCs w:val="24"/>
        </w:rPr>
        <w:tab/>
      </w:r>
      <w:r w:rsidRPr="001C5D05">
        <w:rPr>
          <w:rFonts w:asciiTheme="minorHAnsi" w:hAnsiTheme="minorHAnsi"/>
          <w:sz w:val="24"/>
          <w:szCs w:val="24"/>
        </w:rPr>
        <w:tab/>
      </w:r>
      <w:r w:rsidRPr="001C5D05">
        <w:rPr>
          <w:rFonts w:asciiTheme="minorHAnsi" w:hAnsiTheme="minorHAnsi"/>
          <w:sz w:val="24"/>
          <w:szCs w:val="24"/>
        </w:rPr>
        <w:tab/>
      </w:r>
      <w:r w:rsidRPr="001C5D05">
        <w:rPr>
          <w:rFonts w:asciiTheme="minorHAnsi" w:hAnsiTheme="minorHAnsi"/>
          <w:sz w:val="24"/>
          <w:szCs w:val="24"/>
        </w:rPr>
        <w:tab/>
      </w:r>
      <w:r w:rsidRPr="001C5D05">
        <w:rPr>
          <w:rFonts w:asciiTheme="minorHAnsi" w:hAnsiTheme="minorHAnsi"/>
          <w:sz w:val="24"/>
          <w:szCs w:val="24"/>
        </w:rPr>
        <w:tab/>
      </w:r>
    </w:p>
    <w:p w14:paraId="41231852" w14:textId="000FEC4E" w:rsidR="00A90CC9" w:rsidRPr="001C5D05" w:rsidRDefault="0000254A" w:rsidP="00715D62">
      <w:pPr>
        <w:pStyle w:val="NormalWeb"/>
        <w:spacing w:before="0" w:beforeAutospacing="0" w:after="0" w:afterAutospacing="0" w:line="480" w:lineRule="auto"/>
        <w:rPr>
          <w:rFonts w:asciiTheme="minorHAnsi" w:hAnsiTheme="minorHAnsi"/>
          <w:sz w:val="24"/>
          <w:szCs w:val="24"/>
        </w:rPr>
      </w:pPr>
      <w:r w:rsidRPr="001C5D05">
        <w:rPr>
          <w:rFonts w:asciiTheme="minorHAnsi" w:hAnsiTheme="minorHAnsi"/>
          <w:sz w:val="24"/>
          <w:szCs w:val="24"/>
        </w:rPr>
        <w:tab/>
      </w:r>
      <w:r w:rsidRPr="001C5D05">
        <w:rPr>
          <w:rFonts w:asciiTheme="minorHAnsi" w:hAnsiTheme="minorHAnsi"/>
          <w:sz w:val="24"/>
          <w:szCs w:val="24"/>
        </w:rPr>
        <w:tab/>
      </w:r>
      <w:r w:rsidRPr="001C5D05">
        <w:rPr>
          <w:rFonts w:asciiTheme="minorHAnsi" w:hAnsiTheme="minorHAnsi"/>
          <w:sz w:val="24"/>
          <w:szCs w:val="24"/>
        </w:rPr>
        <w:tab/>
      </w:r>
      <w:r w:rsidR="00A90CC9" w:rsidRPr="001C5D05">
        <w:rPr>
          <w:rFonts w:asciiTheme="minorHAnsi" w:hAnsiTheme="minorHAnsi"/>
          <w:sz w:val="24"/>
          <w:szCs w:val="24"/>
        </w:rPr>
        <w:tab/>
      </w:r>
    </w:p>
    <w:p w14:paraId="7A68CF09" w14:textId="4466035D" w:rsidR="00000466" w:rsidRPr="001C5D05" w:rsidRDefault="000F07E8" w:rsidP="10935CA8">
      <w:pPr>
        <w:pStyle w:val="NormalWeb"/>
        <w:spacing w:before="0" w:beforeAutospacing="0" w:after="0" w:afterAutospacing="0" w:line="480" w:lineRule="auto"/>
        <w:rPr>
          <w:rFonts w:asciiTheme="minorHAnsi" w:hAnsiTheme="minorHAnsi" w:cstheme="minorBidi"/>
          <w:iCs/>
          <w:sz w:val="24"/>
          <w:szCs w:val="24"/>
        </w:rPr>
      </w:pPr>
      <w:r w:rsidRPr="001C5D05">
        <w:rPr>
          <w:rFonts w:asciiTheme="minorHAnsi" w:hAnsiTheme="minorHAnsi" w:cstheme="minorBidi"/>
          <w:iCs/>
          <w:sz w:val="24"/>
          <w:szCs w:val="24"/>
        </w:rPr>
        <w:t>This article exa</w:t>
      </w:r>
      <w:bookmarkStart w:id="0" w:name="_GoBack"/>
      <w:bookmarkEnd w:id="0"/>
      <w:r w:rsidRPr="001C5D05">
        <w:rPr>
          <w:rFonts w:asciiTheme="minorHAnsi" w:hAnsiTheme="minorHAnsi" w:cstheme="minorBidi"/>
          <w:iCs/>
          <w:sz w:val="24"/>
          <w:szCs w:val="24"/>
        </w:rPr>
        <w:t xml:space="preserve">mines the impact and significance of women subject to capital punishment for drug offences. </w:t>
      </w:r>
      <w:r w:rsidR="00FE7335" w:rsidRPr="001C5D05">
        <w:rPr>
          <w:rFonts w:asciiTheme="minorHAnsi" w:hAnsiTheme="minorHAnsi" w:cstheme="minorBidi"/>
          <w:iCs/>
          <w:sz w:val="24"/>
          <w:szCs w:val="24"/>
        </w:rPr>
        <w:t>W</w:t>
      </w:r>
      <w:r w:rsidR="007B3B04" w:rsidRPr="001C5D05">
        <w:rPr>
          <w:rFonts w:asciiTheme="minorHAnsi" w:hAnsiTheme="minorHAnsi" w:cstheme="minorBidi"/>
          <w:iCs/>
          <w:sz w:val="24"/>
          <w:szCs w:val="24"/>
        </w:rPr>
        <w:t xml:space="preserve">omen are </w:t>
      </w:r>
      <w:r w:rsidRPr="001C5D05">
        <w:rPr>
          <w:rFonts w:asciiTheme="minorHAnsi" w:hAnsiTheme="minorHAnsi" w:cstheme="minorBidi"/>
          <w:iCs/>
          <w:sz w:val="24"/>
          <w:szCs w:val="24"/>
        </w:rPr>
        <w:t>subject to death penalty for drug offences; wherever data is available it describes low-level offenders, primarily drug mules. Sandiford’s</w:t>
      </w:r>
      <w:r w:rsidR="10935CA8" w:rsidRPr="001C5D05">
        <w:rPr>
          <w:rFonts w:asciiTheme="minorHAnsi" w:hAnsiTheme="minorHAnsi" w:cstheme="minorBidi"/>
          <w:iCs/>
          <w:sz w:val="24"/>
          <w:szCs w:val="24"/>
        </w:rPr>
        <w:t xml:space="preserve"> death sentence prompts widespread discussion about her, her culpability and the appropriateness of her punishme</w:t>
      </w:r>
      <w:r w:rsidRPr="001C5D05">
        <w:rPr>
          <w:rFonts w:asciiTheme="minorHAnsi" w:hAnsiTheme="minorHAnsi" w:cstheme="minorBidi"/>
          <w:iCs/>
          <w:sz w:val="24"/>
          <w:szCs w:val="24"/>
        </w:rPr>
        <w:t>nt</w:t>
      </w:r>
      <w:r w:rsidR="00FE7335" w:rsidRPr="001C5D05">
        <w:rPr>
          <w:rFonts w:asciiTheme="minorHAnsi" w:hAnsiTheme="minorHAnsi" w:cstheme="minorBidi"/>
          <w:iCs/>
          <w:sz w:val="24"/>
          <w:szCs w:val="24"/>
        </w:rPr>
        <w:t xml:space="preserve"> drawing on </w:t>
      </w:r>
      <w:r w:rsidR="00E06128" w:rsidRPr="001C5D05">
        <w:rPr>
          <w:rFonts w:asciiTheme="minorHAnsi" w:hAnsiTheme="minorHAnsi" w:cstheme="minorBidi"/>
          <w:iCs/>
          <w:sz w:val="24"/>
          <w:szCs w:val="24"/>
        </w:rPr>
        <w:t>drug war discourse, and death penalty tropes</w:t>
      </w:r>
      <w:r w:rsidRPr="001C5D05">
        <w:rPr>
          <w:rFonts w:asciiTheme="minorHAnsi" w:hAnsiTheme="minorHAnsi" w:cstheme="minorBidi"/>
          <w:iCs/>
          <w:sz w:val="24"/>
          <w:szCs w:val="24"/>
        </w:rPr>
        <w:t xml:space="preserve">. Framing analysis </w:t>
      </w:r>
      <w:r w:rsidR="00E06128" w:rsidRPr="001C5D05">
        <w:rPr>
          <w:rFonts w:asciiTheme="minorHAnsi" w:hAnsiTheme="minorHAnsi" w:cstheme="minorBidi"/>
          <w:iCs/>
          <w:sz w:val="24"/>
          <w:szCs w:val="24"/>
        </w:rPr>
        <w:t xml:space="preserve">reveals the powerful and persistent nature of gendered binaries.  </w:t>
      </w:r>
      <w:r w:rsidR="10935CA8" w:rsidRPr="001C5D05">
        <w:rPr>
          <w:rFonts w:asciiTheme="minorHAnsi" w:hAnsiTheme="minorHAnsi" w:cstheme="minorBidi"/>
          <w:iCs/>
          <w:sz w:val="24"/>
          <w:szCs w:val="24"/>
        </w:rPr>
        <w:t>The use of capital punishment against female mules troubles the gendered binaries that underpin US led drug war discourse, and highlights the death penalty as a gendered punishment.</w:t>
      </w:r>
    </w:p>
    <w:p w14:paraId="21DB96E4" w14:textId="77777777" w:rsidR="00000466" w:rsidRPr="001C5D05" w:rsidRDefault="00000466" w:rsidP="00715D62">
      <w:pPr>
        <w:pStyle w:val="NormalWeb"/>
        <w:spacing w:before="0" w:beforeAutospacing="0" w:after="0" w:afterAutospacing="0" w:line="480" w:lineRule="auto"/>
        <w:rPr>
          <w:rFonts w:asciiTheme="minorHAnsi" w:hAnsiTheme="minorHAnsi"/>
          <w:sz w:val="24"/>
          <w:szCs w:val="24"/>
        </w:rPr>
      </w:pPr>
    </w:p>
    <w:p w14:paraId="3009B0E3" w14:textId="1AAA124A" w:rsidR="00715D62" w:rsidRPr="001C5D05" w:rsidRDefault="10935CA8" w:rsidP="10935CA8">
      <w:pPr>
        <w:pStyle w:val="NormalWeb"/>
        <w:spacing w:before="0" w:beforeAutospacing="0" w:after="0" w:afterAutospacing="0" w:line="480" w:lineRule="auto"/>
        <w:rPr>
          <w:rFonts w:asciiTheme="minorHAnsi" w:hAnsiTheme="minorHAnsi" w:cstheme="minorBidi"/>
          <w:sz w:val="24"/>
          <w:szCs w:val="24"/>
        </w:rPr>
      </w:pPr>
      <w:r w:rsidRPr="001C5D05">
        <w:rPr>
          <w:rFonts w:asciiTheme="minorHAnsi" w:hAnsiTheme="minorHAnsi" w:cstheme="minorBidi"/>
          <w:sz w:val="24"/>
          <w:szCs w:val="24"/>
        </w:rPr>
        <w:t>Keywords: Women; death penalty; drug offences; drug mules</w:t>
      </w:r>
      <w:r w:rsidR="00DE264A" w:rsidRPr="001C5D05">
        <w:rPr>
          <w:rFonts w:asciiTheme="minorHAnsi" w:hAnsiTheme="minorHAnsi" w:cstheme="minorBidi"/>
          <w:sz w:val="24"/>
          <w:szCs w:val="24"/>
        </w:rPr>
        <w:t>.</w:t>
      </w:r>
      <w:r w:rsidRPr="001C5D05">
        <w:rPr>
          <w:rFonts w:asciiTheme="minorHAnsi" w:hAnsiTheme="minorHAnsi" w:cstheme="minorBidi"/>
          <w:sz w:val="24"/>
          <w:szCs w:val="24"/>
        </w:rPr>
        <w:t xml:space="preserve"> </w:t>
      </w:r>
    </w:p>
    <w:p w14:paraId="0D736B6D" w14:textId="77777777" w:rsidR="00BA67AB" w:rsidRPr="001C5D05" w:rsidRDefault="00BA67AB" w:rsidP="00715D62">
      <w:pPr>
        <w:spacing w:line="480" w:lineRule="auto"/>
      </w:pPr>
    </w:p>
    <w:p w14:paraId="02F30EFB" w14:textId="7790EF8C" w:rsidR="000F35A7" w:rsidRPr="001C5D05" w:rsidRDefault="10935CA8" w:rsidP="10935CA8">
      <w:pPr>
        <w:spacing w:line="480" w:lineRule="auto"/>
        <w:rPr>
          <w:u w:val="single"/>
        </w:rPr>
      </w:pPr>
      <w:r w:rsidRPr="001C5D05">
        <w:rPr>
          <w:u w:val="single"/>
        </w:rPr>
        <w:t>Introduction</w:t>
      </w:r>
    </w:p>
    <w:p w14:paraId="419273D9" w14:textId="1B192E3B" w:rsidR="006F4D62" w:rsidRPr="001C5D05" w:rsidRDefault="00894C8C" w:rsidP="10935CA8">
      <w:pPr>
        <w:spacing w:line="480" w:lineRule="auto"/>
        <w:ind w:firstLine="720"/>
      </w:pPr>
      <w:r w:rsidRPr="001C5D05">
        <w:t xml:space="preserve">Worldwide, women </w:t>
      </w:r>
      <w:r w:rsidR="00954277" w:rsidRPr="001C5D05">
        <w:t xml:space="preserve">comprise </w:t>
      </w:r>
      <w:r w:rsidRPr="001C5D05">
        <w:t xml:space="preserve">around 30% of </w:t>
      </w:r>
      <w:r w:rsidR="00E63DD8" w:rsidRPr="001C5D05">
        <w:t>drug</w:t>
      </w:r>
      <w:r w:rsidRPr="001C5D05">
        <w:t xml:space="preserve"> trafficking </w:t>
      </w:r>
      <w:r w:rsidR="00E63DD8" w:rsidRPr="001C5D05">
        <w:t>arrests</w:t>
      </w:r>
      <w:r w:rsidRPr="001C5D05">
        <w:t xml:space="preserve"> (</w:t>
      </w:r>
      <w:r w:rsidR="00B54E3D" w:rsidRPr="001C5D05">
        <w:t>UNODC 2011</w:t>
      </w:r>
      <w:r w:rsidRPr="001C5D05">
        <w:t>), usually for low-level involvement</w:t>
      </w:r>
      <w:r w:rsidR="00DA7BA2" w:rsidRPr="001C5D05">
        <w:t xml:space="preserve">, including as drug </w:t>
      </w:r>
      <w:r w:rsidR="00E63DD8" w:rsidRPr="001C5D05">
        <w:t>couriers/mules</w:t>
      </w:r>
      <w:r w:rsidRPr="001C5D05">
        <w:t>.</w:t>
      </w:r>
      <w:r w:rsidR="00E63DD8" w:rsidRPr="001C5D05">
        <w:rPr>
          <w:rStyle w:val="EndnoteReference"/>
        </w:rPr>
        <w:endnoteReference w:id="1"/>
      </w:r>
      <w:r w:rsidRPr="001C5D05">
        <w:t xml:space="preserve"> </w:t>
      </w:r>
      <w:r w:rsidR="00DA7BA2" w:rsidRPr="001C5D05">
        <w:t>Drug t</w:t>
      </w:r>
      <w:r w:rsidRPr="001C5D05">
        <w:t>rafficking is subject to a manda</w:t>
      </w:r>
      <w:r w:rsidR="00E63DD8" w:rsidRPr="001C5D05">
        <w:t>tory death penalty in 10 countries</w:t>
      </w:r>
      <w:r w:rsidR="00DA7BA2" w:rsidRPr="001C5D05">
        <w:t xml:space="preserve">, and resulted in an estimated 600 executions worldwide in 2014 (Gallahue and Lines 2015).  </w:t>
      </w:r>
      <w:r w:rsidR="683012B4" w:rsidRPr="001C5D05">
        <w:t>This article is the first to examine the intersection between women’s criminalisation for drug offences and the international use of the death penalty for these offences. Consistent with the precepts of feminist cr</w:t>
      </w:r>
      <w:r w:rsidR="00793C5A" w:rsidRPr="001C5D05">
        <w:t>iminology</w:t>
      </w:r>
      <w:r w:rsidR="683012B4" w:rsidRPr="001C5D05">
        <w:t xml:space="preserve"> we </w:t>
      </w:r>
      <w:r w:rsidR="00E63DD8" w:rsidRPr="001C5D05">
        <w:t>explore</w:t>
      </w:r>
      <w:r w:rsidR="00AC6F10" w:rsidRPr="001C5D05">
        <w:t xml:space="preserve"> the gendered nature of punishment (</w:t>
      </w:r>
      <w:r w:rsidR="006F4D62" w:rsidRPr="001C5D05">
        <w:t xml:space="preserve">Carlen 2002; Malloch and McIvor </w:t>
      </w:r>
      <w:r w:rsidR="005038F7" w:rsidRPr="001C5D05">
        <w:t>2013</w:t>
      </w:r>
      <w:r w:rsidR="00E842E5" w:rsidRPr="001C5D05">
        <w:t>; Belknap 2015</w:t>
      </w:r>
      <w:r w:rsidR="00AC6F10" w:rsidRPr="001C5D05">
        <w:t>)</w:t>
      </w:r>
      <w:r w:rsidR="00B46357" w:rsidRPr="001C5D05">
        <w:t xml:space="preserve"> </w:t>
      </w:r>
      <w:r w:rsidR="0094517C" w:rsidRPr="001C5D05">
        <w:t xml:space="preserve">and </w:t>
      </w:r>
      <w:r w:rsidR="683012B4" w:rsidRPr="001C5D05">
        <w:t xml:space="preserve">make women visible by </w:t>
      </w:r>
      <w:r w:rsidR="00FF178A" w:rsidRPr="001C5D05">
        <w:t xml:space="preserve">gathering </w:t>
      </w:r>
      <w:r w:rsidR="683012B4" w:rsidRPr="001C5D05">
        <w:t xml:space="preserve">the scant data on women sentenced to death for drugs offences in relation to the 'war </w:t>
      </w:r>
      <w:r w:rsidR="683012B4" w:rsidRPr="001C5D05">
        <w:lastRenderedPageBreak/>
        <w:t xml:space="preserve">on drugs'. This 'war' </w:t>
      </w:r>
      <w:r w:rsidR="0078061C" w:rsidRPr="001C5D05">
        <w:t>has been profoundly gendered, both in terms of the discursive meanings</w:t>
      </w:r>
      <w:r w:rsidR="006D0241" w:rsidRPr="001C5D05">
        <w:t xml:space="preserve"> produced,</w:t>
      </w:r>
      <w:r w:rsidR="0078061C" w:rsidRPr="001C5D05">
        <w:t xml:space="preserve"> and in its impact on criminal justice</w:t>
      </w:r>
      <w:r w:rsidR="683012B4" w:rsidRPr="001C5D05">
        <w:t>. In addition to demonstrating th</w:t>
      </w:r>
      <w:r w:rsidR="00FF178A" w:rsidRPr="001C5D05">
        <w:t xml:space="preserve">at </w:t>
      </w:r>
      <w:r w:rsidR="683012B4" w:rsidRPr="001C5D05">
        <w:t xml:space="preserve">women </w:t>
      </w:r>
      <w:r w:rsidR="00FF178A" w:rsidRPr="001C5D05">
        <w:t>receive capital punishment</w:t>
      </w:r>
      <w:r w:rsidR="683012B4" w:rsidRPr="001C5D05">
        <w:t xml:space="preserve"> for drugs offences, we also explore </w:t>
      </w:r>
      <w:r w:rsidR="00FF178A" w:rsidRPr="001C5D05">
        <w:t xml:space="preserve">their </w:t>
      </w:r>
      <w:r w:rsidR="00E63DD8" w:rsidRPr="001C5D05">
        <w:t xml:space="preserve">discursive </w:t>
      </w:r>
      <w:r w:rsidR="00FF178A" w:rsidRPr="001C5D05">
        <w:t>significance</w:t>
      </w:r>
      <w:r w:rsidR="683012B4" w:rsidRPr="001C5D05">
        <w:t xml:space="preserve">. Here we fulfil </w:t>
      </w:r>
      <w:r w:rsidR="00E63DD8" w:rsidRPr="001C5D05">
        <w:t>a further</w:t>
      </w:r>
      <w:r w:rsidR="683012B4" w:rsidRPr="001C5D05">
        <w:t xml:space="preserve"> aim of feminist criminology: to deconstruct gendered meaning in relation to women's offending and punishment (</w:t>
      </w:r>
      <w:r w:rsidR="00FF178A" w:rsidRPr="001C5D05">
        <w:t xml:space="preserve">inter alia </w:t>
      </w:r>
      <w:r w:rsidR="006F4D62" w:rsidRPr="001C5D05">
        <w:t>Naffine</w:t>
      </w:r>
      <w:r w:rsidR="683012B4" w:rsidRPr="001C5D05">
        <w:t xml:space="preserve"> 1997</w:t>
      </w:r>
      <w:r w:rsidR="00FF178A" w:rsidRPr="001C5D05">
        <w:t xml:space="preserve">; </w:t>
      </w:r>
      <w:r w:rsidR="006F4D62" w:rsidRPr="001C5D05">
        <w:t>Maidment</w:t>
      </w:r>
      <w:r w:rsidR="005038F7" w:rsidRPr="001C5D05">
        <w:t xml:space="preserve"> 2006; </w:t>
      </w:r>
      <w:r w:rsidR="006F4D62" w:rsidRPr="001C5D05">
        <w:t xml:space="preserve">Seal </w:t>
      </w:r>
      <w:r w:rsidR="002868FC" w:rsidRPr="001C5D05">
        <w:t xml:space="preserve">2010; </w:t>
      </w:r>
      <w:r w:rsidR="00AC6F10" w:rsidRPr="001C5D05">
        <w:t>O’Neil and Seal 2012</w:t>
      </w:r>
      <w:r w:rsidR="683012B4" w:rsidRPr="001C5D05">
        <w:t>).</w:t>
      </w:r>
      <w:r w:rsidR="0045354B" w:rsidRPr="001C5D05">
        <w:t xml:space="preserve"> </w:t>
      </w:r>
      <w:r w:rsidR="006D0241" w:rsidRPr="001C5D05">
        <w:t xml:space="preserve">A global level analysis of discourse is neither possible, nor </w:t>
      </w:r>
      <w:r w:rsidR="009A1C6F" w:rsidRPr="001C5D05">
        <w:t>desirable since it would obscure the importance of nationality</w:t>
      </w:r>
      <w:r w:rsidR="006D0241" w:rsidRPr="001C5D05">
        <w:t>. To this end, we focus on the UK</w:t>
      </w:r>
      <w:r w:rsidR="007356BE" w:rsidRPr="001C5D05">
        <w:t xml:space="preserve"> and</w:t>
      </w:r>
      <w:r w:rsidR="683012B4" w:rsidRPr="001C5D05">
        <w:t xml:space="preserve"> offer a framing analysis of Mail Online’s coverage as it relates to </w:t>
      </w:r>
      <w:r w:rsidR="00094F66" w:rsidRPr="001C5D05">
        <w:t xml:space="preserve">the case of </w:t>
      </w:r>
      <w:r w:rsidR="683012B4" w:rsidRPr="001C5D05">
        <w:t>Lindsay Sandiford</w:t>
      </w:r>
      <w:r w:rsidR="00094F66" w:rsidRPr="001C5D05">
        <w:t xml:space="preserve">, a </w:t>
      </w:r>
      <w:r w:rsidR="00CC1869" w:rsidRPr="001C5D05">
        <w:t>56-year-old</w:t>
      </w:r>
      <w:r w:rsidR="00094F66" w:rsidRPr="001C5D05">
        <w:t xml:space="preserve"> British woman arrested and charged with drug trafficking </w:t>
      </w:r>
      <w:r w:rsidR="00F97C12" w:rsidRPr="001C5D05">
        <w:t xml:space="preserve">in 2012 </w:t>
      </w:r>
      <w:r w:rsidR="00094F66" w:rsidRPr="001C5D05">
        <w:t>after 4.8 kilos of cocaine were found in her suitcase when she arrived at Ngurah Rai International Airport in Indonesia</w:t>
      </w:r>
      <w:r w:rsidR="683012B4" w:rsidRPr="001C5D05">
        <w:t>. Sandiford is simultaneously exceptional, in being a Western white woman on death row for drug smuggling, and unexceptional in being a foreign national sentenced to death in Indonesia for this crime</w:t>
      </w:r>
      <w:r w:rsidR="00A8774F" w:rsidRPr="001C5D05">
        <w:t xml:space="preserve"> where over half of those on death row are drug offenders</w:t>
      </w:r>
      <w:r w:rsidR="00AC6F10" w:rsidRPr="001C5D05">
        <w:t>.</w:t>
      </w:r>
      <w:r w:rsidR="00A8774F" w:rsidRPr="001C5D05">
        <w:t xml:space="preserve"> Sandiford is the first British woman to be given a death sentence for drug traffic</w:t>
      </w:r>
      <w:r w:rsidR="00BA5F15" w:rsidRPr="001C5D05">
        <w:t>king, although others have been</w:t>
      </w:r>
      <w:r w:rsidR="00A8774F" w:rsidRPr="001C5D05">
        <w:t xml:space="preserve"> subject to the death </w:t>
      </w:r>
      <w:r w:rsidR="00BA5F15" w:rsidRPr="001C5D05">
        <w:t>penalty</w:t>
      </w:r>
      <w:r w:rsidR="0094517C" w:rsidRPr="001C5D05">
        <w:t xml:space="preserve"> overseas</w:t>
      </w:r>
      <w:r w:rsidR="00A8774F" w:rsidRPr="001C5D05">
        <w:t>, including Linda Carty in the USA. 22 Britons are currently on death row abroad, including 10 convict</w:t>
      </w:r>
      <w:r w:rsidR="00DA7C62" w:rsidRPr="001C5D05">
        <w:t>ed of drug offences (Perring</w:t>
      </w:r>
      <w:r w:rsidR="00A8774F" w:rsidRPr="001C5D05">
        <w:t xml:space="preserve"> 2015); a small fraction of the hundreds of Britons arrested overseas annually for drug offences.</w:t>
      </w:r>
      <w:r w:rsidR="006F4D62" w:rsidRPr="001C5D05">
        <w:rPr>
          <w:rStyle w:val="EndnoteReference"/>
        </w:rPr>
        <w:endnoteReference w:id="2"/>
      </w:r>
      <w:r w:rsidR="006F4D62" w:rsidRPr="001C5D05">
        <w:t xml:space="preserve"> As a woman, Sandiford has received a greater degree of news coverage since she was arrested in comparison with British men arrested for drug offences overseas. By combining empirical and discursive analyses, we explore the significance of gender for capital punishment.</w:t>
      </w:r>
    </w:p>
    <w:p w14:paraId="2782CCB3" w14:textId="741FDB37" w:rsidR="006F4D62" w:rsidRPr="001C5D05" w:rsidRDefault="006F4D62" w:rsidP="006D0241">
      <w:pPr>
        <w:spacing w:line="480" w:lineRule="auto"/>
        <w:ind w:firstLine="720"/>
      </w:pPr>
      <w:r w:rsidRPr="001C5D05">
        <w:t xml:space="preserve">Firstly this paper offers a brief overview of drug war discourses and illustrates the ways in which they are underpinned by gendered binaries. Next, we examine the global use of the death penalty for drug offences, examining its subjects and in </w:t>
      </w:r>
      <w:r w:rsidRPr="001C5D05">
        <w:lastRenderedPageBreak/>
        <w:t xml:space="preserve">particular women. Thirdly, in the second half of the article, we analyse the framing of Lindsay Sandiford's case as a way of examining the gendered meanings that continue to underpin both the death penalty and the war on drugs. </w:t>
      </w:r>
    </w:p>
    <w:p w14:paraId="5FF3AE91" w14:textId="77777777" w:rsidR="006F4D62" w:rsidRPr="001C5D05" w:rsidRDefault="006F4D62" w:rsidP="006D0241">
      <w:pPr>
        <w:spacing w:line="480" w:lineRule="auto"/>
      </w:pPr>
    </w:p>
    <w:p w14:paraId="227CCBB7" w14:textId="77777777" w:rsidR="006F4D62" w:rsidRPr="001C5D05" w:rsidRDefault="006F4D62" w:rsidP="006D0241">
      <w:pPr>
        <w:spacing w:line="480" w:lineRule="auto"/>
        <w:rPr>
          <w:b/>
          <w:bCs/>
        </w:rPr>
      </w:pPr>
      <w:r w:rsidRPr="001C5D05">
        <w:rPr>
          <w:b/>
          <w:bCs/>
        </w:rPr>
        <w:t>Drug war discourse and the death penalty</w:t>
      </w:r>
    </w:p>
    <w:p w14:paraId="289FF98F" w14:textId="0BAE9274" w:rsidR="006F4D62" w:rsidRPr="001C5D05" w:rsidRDefault="006F4D62" w:rsidP="006D0241">
      <w:pPr>
        <w:spacing w:line="480" w:lineRule="auto"/>
        <w:ind w:firstLine="720"/>
      </w:pPr>
      <w:r w:rsidRPr="001C5D05">
        <w:t xml:space="preserve">Discourses do not </w:t>
      </w:r>
      <w:r w:rsidRPr="001C5D05">
        <w:rPr>
          <w:i/>
        </w:rPr>
        <w:t>cause</w:t>
      </w:r>
      <w:r w:rsidRPr="001C5D05">
        <w:t xml:space="preserve"> punishment, per se, but they play a vital role in justifying and legitimising those who can be punished and the nature and extent of their punishment. United Nations International Drug Control Conventions</w:t>
      </w:r>
      <w:r w:rsidRPr="001C5D05">
        <w:rPr>
          <w:rStyle w:val="EndnoteReference"/>
        </w:rPr>
        <w:endnoteReference w:id="3"/>
      </w:r>
      <w:r w:rsidRPr="001C5D05">
        <w:t xml:space="preserve"> are the foundation of a global approach to drugs. The UN Conventions establishes, globally, the notion of drugs and traffickers as a ‘threat’ and as ‘evil’, rather a matter of health requiring regulation, for example (Crick 2012). International conventions (and their supporting discourses) are incorporated into national laws and policy reflecting distinct legal systems, culture and history (Bancroft 2009). However, as a powerful first world nation, the USA has played a significant role in defining the drug problem, including through the United Nations (Crick 2012), as well as international aid (Corva 2008). Although the USA is increasingly departing from the metaphor of a ‘war’, this discourse is remarkably persistent. </w:t>
      </w:r>
    </w:p>
    <w:p w14:paraId="1C35A0C4" w14:textId="467D4971" w:rsidR="006F4D62" w:rsidRPr="001C5D05" w:rsidRDefault="006F4D62" w:rsidP="006D0241">
      <w:pPr>
        <w:spacing w:line="480" w:lineRule="auto"/>
        <w:ind w:firstLine="720"/>
      </w:pPr>
      <w:r w:rsidRPr="001C5D05">
        <w:t>The contemporary use of the death penalty for drug offences arguably owes much to President Nixon’s declaration of ‘war on drugs’ in the United States in 1971 (Green 1998). The metaphor of a war relies on a ‘binary logic of representation’: ‘Oppositional terms (man/woman, white/black, rational/irrational, mind/body and so on are constructed in a system of value which makes one visible and the other invisible’</w:t>
      </w:r>
      <w:r w:rsidR="00843A0D" w:rsidRPr="001C5D05">
        <w:t xml:space="preserve"> (Young 1996,</w:t>
      </w:r>
      <w:r w:rsidRPr="001C5D05">
        <w:t xml:space="preserve"> </w:t>
      </w:r>
      <w:r w:rsidR="00843A0D" w:rsidRPr="001C5D05">
        <w:t>p.</w:t>
      </w:r>
      <w:r w:rsidRPr="001C5D05">
        <w:t>1). Drug war discourse is underpinned by a series of binaries: traffickers/citizens; insiders/outsiders; victims and victimisers, and – especially relevant here – male and female.</w:t>
      </w:r>
    </w:p>
    <w:p w14:paraId="5065536C" w14:textId="23BC8080" w:rsidR="006F4D62" w:rsidRPr="001C5D05" w:rsidRDefault="006F4D62" w:rsidP="006D0241">
      <w:pPr>
        <w:spacing w:line="480" w:lineRule="auto"/>
        <w:ind w:firstLine="720"/>
      </w:pPr>
      <w:r w:rsidRPr="001C5D05">
        <w:lastRenderedPageBreak/>
        <w:t>Nixon famously stated: ‘Narcotics addiction…  comes quietly into homes and destroys children, it moves into neighborhoods and breaks the fiber of community which makes neighbors.</w:t>
      </w:r>
      <w:r w:rsidR="00843A0D" w:rsidRPr="001C5D05">
        <w:t xml:space="preserve"> . . .’ (cited in Shleifer 2011,</w:t>
      </w:r>
      <w:r w:rsidRPr="001C5D05">
        <w:t xml:space="preserve"> </w:t>
      </w:r>
      <w:r w:rsidR="00843A0D" w:rsidRPr="001C5D05">
        <w:t>p.</w:t>
      </w:r>
      <w:r w:rsidRPr="001C5D05">
        <w:t>vii). Children, as the nation’s future citizens, are made hyper visible as potential victims of drugs. Echoing Nixon, President Reagan defined the threat posed by cocaine as ‘an urgent matter of na</w:t>
      </w:r>
      <w:r w:rsidR="008D03A2" w:rsidRPr="001C5D05">
        <w:t>tional security’ (del Olmo 1996,</w:t>
      </w:r>
      <w:r w:rsidRPr="001C5D05">
        <w:t xml:space="preserve"> </w:t>
      </w:r>
      <w:r w:rsidR="008D03A2" w:rsidRPr="001C5D05">
        <w:t>p.</w:t>
      </w:r>
      <w:r w:rsidRPr="001C5D05">
        <w:t>33), and so the ‘war’ was directed both discursively and literally against an ‘external enemy’ (Green 1998;</w:t>
      </w:r>
      <w:r w:rsidR="008D03A2" w:rsidRPr="001C5D05">
        <w:t xml:space="preserve"> Fukumi 2008</w:t>
      </w:r>
      <w:r w:rsidRPr="001C5D05">
        <w:t xml:space="preserve">; </w:t>
      </w:r>
      <w:r w:rsidR="008D03A2" w:rsidRPr="001C5D05">
        <w:t>Woodiwiss and Hobbs 2009</w:t>
      </w:r>
      <w:r w:rsidRPr="001C5D05">
        <w:t>). This is evident in supply-side interdiction policies undertaken drug producing nations (Metaal and Youngers 2011), as well as widespread securitisation and profiling of foreigners, including at airports (Green 1998). The UK paid for and installed passenger-scanning machines in Jamaica, dramatically increasing arrests there (Foreign and Commonwealth Office 2007). Drug war discourses are also intensely racialised and western drug policy especially criminalises black and racial minorities, especially women (</w:t>
      </w:r>
      <w:r w:rsidR="008D03A2" w:rsidRPr="001C5D05">
        <w:t>Sudbury 2002; Bush-Baskette 2004</w:t>
      </w:r>
      <w:r w:rsidRPr="001C5D05">
        <w:t xml:space="preserve">). </w:t>
      </w:r>
    </w:p>
    <w:p w14:paraId="5A3E365E" w14:textId="2DCEA248" w:rsidR="006F4D62" w:rsidRPr="001C5D05" w:rsidRDefault="006F4D62" w:rsidP="006D0241">
      <w:pPr>
        <w:spacing w:line="480" w:lineRule="auto"/>
        <w:ind w:firstLine="720"/>
      </w:pPr>
      <w:r w:rsidRPr="001C5D05">
        <w:t>Drug war discourse is profoundly gendered, especially evident in the notion of the ‘drug trafficker’. By the 1980’s the ‘drug trafficker’ appeared in popular and political discourse as an ‘an ideological cue, a shorthand reference encompassing… menace, evil, greed, depravity and corruption’, at leas</w:t>
      </w:r>
      <w:r w:rsidR="008D03A2" w:rsidRPr="001C5D05">
        <w:t>t in the USA and UK (Green 1998</w:t>
      </w:r>
      <w:r w:rsidRPr="001C5D05">
        <w:t xml:space="preserve"> </w:t>
      </w:r>
      <w:r w:rsidR="008D03A2" w:rsidRPr="001C5D05">
        <w:t>p.</w:t>
      </w:r>
      <w:r w:rsidRPr="001C5D05">
        <w:t xml:space="preserve">78). The external enemy in drug war discourse is implicitly male. Drawing on an analysis of US films about drugs, Boyd notes that drug traffickers are represented as militarised, foreign and a threat to the morality of the nation’s (young, white) women (Boyd 2007). Threats include not only vulnerability to drug addiction, but also exploitation in the drug trade. Schemenaer also notes that drug war discourses establish the state as paternalistic protector, especially of young women as potential bearers of future generations (Schemenauer 2012). </w:t>
      </w:r>
    </w:p>
    <w:p w14:paraId="1FB88FB7" w14:textId="35EE56CB" w:rsidR="006F4D62" w:rsidRPr="001C5D05" w:rsidRDefault="006F4D62" w:rsidP="006D0241">
      <w:pPr>
        <w:spacing w:line="480" w:lineRule="auto"/>
        <w:ind w:firstLine="720"/>
      </w:pPr>
      <w:r w:rsidRPr="001C5D05">
        <w:lastRenderedPageBreak/>
        <w:t xml:space="preserve">The female drug mule does not neatly fit this gendered binary: as traffickers they are potential villains, but as women they are potential victims.  Discursively, they are subtyped as an exploited victim, tending to prop up the notion of an evil trafficker (Harper, Harper and Stockdale 2000). In reality, most of those punished by drug war politics are not drug war bosses, but low level users and sellers. This number also includes mules; many of whom are foreign and/or ethnic minority and often motivated by poverty. A large volume of research from the 1990s onwards documents a significant number of women drug mules serving sentences of up to 14 years for their minor role in drug trafficking. Research comprehensively documents that women are disproportionately, and more harshly, punished than their male counterparts (Giacomello 2013; Malinowska-Sempruch and Rychkova 2015). Although women are often understood as ‘collateral’ damage in the ‘war’ on drugs, their incarceration is an inevitable outcome of international agreements requiring that nations demonstrate their efforts toward drug prohibition (Fleetwood 2014). </w:t>
      </w:r>
    </w:p>
    <w:p w14:paraId="066E119D" w14:textId="77777777" w:rsidR="006F4D62" w:rsidRPr="001C5D05" w:rsidRDefault="006F4D62" w:rsidP="006D0241">
      <w:pPr>
        <w:spacing w:line="480" w:lineRule="auto"/>
      </w:pPr>
    </w:p>
    <w:p w14:paraId="47A65501" w14:textId="77777777" w:rsidR="006F4D62" w:rsidRPr="001C5D05" w:rsidRDefault="006F4D62" w:rsidP="006D0241">
      <w:pPr>
        <w:spacing w:line="480" w:lineRule="auto"/>
        <w:rPr>
          <w:i/>
        </w:rPr>
      </w:pPr>
      <w:r w:rsidRPr="001C5D05">
        <w:rPr>
          <w:i/>
          <w:iCs/>
        </w:rPr>
        <w:t>Drug war discourse: contemporary iterations</w:t>
      </w:r>
    </w:p>
    <w:p w14:paraId="5317DE34" w14:textId="7B099D70" w:rsidR="006F4D62" w:rsidRPr="001C5D05" w:rsidRDefault="006F4D62" w:rsidP="006D0241">
      <w:pPr>
        <w:spacing w:line="480" w:lineRule="auto"/>
        <w:ind w:firstLine="720"/>
      </w:pPr>
      <w:r w:rsidRPr="001C5D05">
        <w:t>Discourses about drug traffickers as an evil menace and threat to national security render them worthy of the harshest punishments. Despite spearheading the war on drugs, and maintaining capital punishment federally for drug offe</w:t>
      </w:r>
      <w:r w:rsidR="008444E8" w:rsidRPr="001C5D05">
        <w:t>nces, the USA has never</w:t>
      </w:r>
      <w:r w:rsidRPr="001C5D05">
        <w:t xml:space="preserve"> carried out the death penalty on a drug offender (Gallahue and Lines 2015). Nonethe</w:t>
      </w:r>
      <w:r w:rsidR="00CF33E5" w:rsidRPr="001C5D05">
        <w:t>less, the notion of drugs, and those who trade them as ‘evil’, renders them</w:t>
      </w:r>
      <w:r w:rsidRPr="001C5D05">
        <w:t xml:space="preserve"> worthy of the harshest punishment: the death penalty. </w:t>
      </w:r>
    </w:p>
    <w:p w14:paraId="55B45EBC" w14:textId="337438A7" w:rsidR="006F4D62" w:rsidRPr="001C5D05" w:rsidRDefault="006F4D62" w:rsidP="006D0241">
      <w:pPr>
        <w:spacing w:line="480" w:lineRule="auto"/>
        <w:ind w:firstLine="720"/>
      </w:pPr>
      <w:r w:rsidRPr="001C5D05">
        <w:t xml:space="preserve">Most countries that execute drug offenders have drug laws dating from the 1980s onwards (Hood and Hoyle, 2015). It is often assumed that the death penalty is an issue pertaining to national sovereignty and history, but in fact most countries have </w:t>
      </w:r>
      <w:r w:rsidRPr="001C5D05">
        <w:rPr>
          <w:i/>
          <w:iCs/>
        </w:rPr>
        <w:lastRenderedPageBreak/>
        <w:t>introduced</w:t>
      </w:r>
      <w:r w:rsidRPr="001C5D05">
        <w:t xml:space="preserve"> or increased capital punishment for drugs offences in response to international drug treaties/the US led war on drugs (Gallahue and Lines 2015). The exceptions are China and Iran, who have had the death penalty for drug offences since the 1950s, arguably influenced by global drug prohibition led by the Uni</w:t>
      </w:r>
      <w:r w:rsidR="008444E8" w:rsidRPr="001C5D05">
        <w:t>ted Nations (Gallahue and Lines</w:t>
      </w:r>
      <w:r w:rsidRPr="001C5D05">
        <w:t xml:space="preserve"> 2015). Reprieve’s research powerfully tracks a close relationship between international aid and a rise in executions for drug offences, especi</w:t>
      </w:r>
      <w:r w:rsidR="008D03A2" w:rsidRPr="001C5D05">
        <w:t>ally in</w:t>
      </w:r>
      <w:r w:rsidR="008444E8" w:rsidRPr="001C5D05">
        <w:t xml:space="preserve"> Pakistan (Reprieve 2014</w:t>
      </w:r>
      <w:r w:rsidRPr="001C5D05">
        <w:t xml:space="preserve"> </w:t>
      </w:r>
      <w:r w:rsidR="008444E8" w:rsidRPr="001C5D05">
        <w:t>p.</w:t>
      </w:r>
      <w:r w:rsidRPr="001C5D05">
        <w:t xml:space="preserve">12). </w:t>
      </w:r>
    </w:p>
    <w:p w14:paraId="03A33714" w14:textId="7B67D138" w:rsidR="006F4D62" w:rsidRPr="001C5D05" w:rsidRDefault="006F4D62" w:rsidP="006D0241">
      <w:pPr>
        <w:spacing w:line="480" w:lineRule="auto"/>
        <w:ind w:firstLine="720"/>
      </w:pPr>
      <w:r w:rsidRPr="001C5D05">
        <w:t>Conversely, capital punishment may also be employed as a marker of ‘cultural exceptionalism’, distinguishing South East Asian countries from former colonial European powers. The emphasis on ‘Asian values’ such as communitari</w:t>
      </w:r>
      <w:r w:rsidR="008444E8" w:rsidRPr="001C5D05">
        <w:t>anism and order justify</w:t>
      </w:r>
      <w:r w:rsidRPr="001C5D05">
        <w:t xml:space="preserve"> the death penalty in Singapore and Malaysia, </w:t>
      </w:r>
      <w:r w:rsidR="008444E8" w:rsidRPr="001C5D05">
        <w:t>where the drug trade is</w:t>
      </w:r>
      <w:r w:rsidRPr="001C5D05">
        <w:t xml:space="preserve"> understood to threaten, and potentially w</w:t>
      </w:r>
      <w:r w:rsidR="008D03A2" w:rsidRPr="001C5D05">
        <w:t>eaken, the whole society (Novak</w:t>
      </w:r>
      <w:r w:rsidRPr="001C5D05">
        <w:t xml:space="preserve"> 2014). This was further underlined by its disproportionate use against foreign nationals, most starkly in Indonesia (where almost all of those executed </w:t>
      </w:r>
      <w:r w:rsidR="008444E8" w:rsidRPr="001C5D05">
        <w:t>were</w:t>
      </w:r>
      <w:r w:rsidRPr="001C5D05">
        <w:t xml:space="preserve"> foreign traffickers). Singapore and Malaysia both exhibit a downward trend in relation to execution rates; the Singaporean death penalty was restricted in scope in 2012 and Malaysia is considering abolition of the mandatory death penalty (Novak 2014). However, the region offers a mixed picture with the deployment of anti-drugs rhetoric in Indonesia and the Philippines to support official and extra judicial execution. </w:t>
      </w:r>
    </w:p>
    <w:p w14:paraId="2784B982" w14:textId="1204B1C5" w:rsidR="006F4D62" w:rsidRPr="001C5D05" w:rsidRDefault="006F4D62" w:rsidP="006D0241">
      <w:pPr>
        <w:spacing w:line="480" w:lineRule="auto"/>
        <w:ind w:firstLine="720"/>
      </w:pPr>
      <w:r w:rsidRPr="001C5D05">
        <w:t>The notion of protecting the nation’s children remains politically powerful, not only in the USA (Shlei</w:t>
      </w:r>
      <w:r w:rsidR="008444E8" w:rsidRPr="001C5D05">
        <w:t>fer 2011) but further afield</w:t>
      </w:r>
      <w:r w:rsidRPr="001C5D05">
        <w:t>.</w:t>
      </w:r>
      <w:r w:rsidRPr="001C5D05">
        <w:rPr>
          <w:rStyle w:val="EndnoteReference"/>
        </w:rPr>
        <w:endnoteReference w:id="4"/>
      </w:r>
      <w:r w:rsidRPr="001C5D05">
        <w:t xml:space="preserve"> Discourses about protecting youth underpin the recent rise in the death penalty (as well as extra-judicial killings) in south East Asia. I</w:t>
      </w:r>
      <w:r w:rsidR="008444E8" w:rsidRPr="001C5D05">
        <w:t>n I</w:t>
      </w:r>
      <w:r w:rsidRPr="001C5D05">
        <w:t>ndonesia’s ‘drug war’ drugs</w:t>
      </w:r>
      <w:r w:rsidR="008444E8" w:rsidRPr="001C5D05">
        <w:t xml:space="preserve"> are framed</w:t>
      </w:r>
      <w:r w:rsidRPr="001C5D05">
        <w:t xml:space="preserve"> as a national threat, especially to young people. In 2015, following the execution of 14 foreigners for drug trafficking, Indone</w:t>
      </w:r>
      <w:r w:rsidR="008444E8" w:rsidRPr="001C5D05">
        <w:t>sia’s President Widodo stated: ‘</w:t>
      </w:r>
      <w:r w:rsidRPr="001C5D05">
        <w:t>Every day 50 young Indonesians die; i</w:t>
      </w:r>
      <w:r w:rsidR="008D03A2" w:rsidRPr="001C5D05">
        <w:t xml:space="preserve">n one year </w:t>
      </w:r>
      <w:r w:rsidR="008444E8" w:rsidRPr="001C5D05">
        <w:lastRenderedPageBreak/>
        <w:t>that is 18,000 dead’</w:t>
      </w:r>
      <w:r w:rsidRPr="001C5D05">
        <w:t xml:space="preserve"> (</w:t>
      </w:r>
      <w:r w:rsidR="00DA7C62" w:rsidRPr="001C5D05">
        <w:t>Jabour 2015</w:t>
      </w:r>
      <w:r w:rsidRPr="001C5D05">
        <w:t xml:space="preserve">). His claim regarding the spectacular number of deaths was rapidly disproven (Stoicescu 2015), but four more ‘traffickers’ were executed in 2016, three of them from Nigeria (BBC News 2016). </w:t>
      </w:r>
    </w:p>
    <w:p w14:paraId="29CD6F65" w14:textId="5D8695EE" w:rsidR="006F4D62" w:rsidRPr="001C5D05" w:rsidRDefault="006F4D62" w:rsidP="006D0241">
      <w:pPr>
        <w:spacing w:line="480" w:lineRule="auto"/>
        <w:ind w:firstLine="720"/>
      </w:pPr>
      <w:r w:rsidRPr="001C5D05">
        <w:t>President Duterte of the Philippines ramped up anti-drug rhetoric and acti</w:t>
      </w:r>
      <w:r w:rsidR="008444E8" w:rsidRPr="001C5D05">
        <w:t>on to unprecedented viciousness.Duterte</w:t>
      </w:r>
      <w:r w:rsidRPr="001C5D05">
        <w:t xml:space="preserve"> </w:t>
      </w:r>
      <w:r w:rsidR="008444E8" w:rsidRPr="001C5D05">
        <w:t>appeared to admit to murdering drug dealers, and offered</w:t>
      </w:r>
      <w:r w:rsidRPr="001C5D05">
        <w:t xml:space="preserve"> impunity to anyone murde</w:t>
      </w:r>
      <w:r w:rsidR="008444E8" w:rsidRPr="001C5D05">
        <w:t>ring drug users and traffickers</w:t>
      </w:r>
      <w:r w:rsidRPr="001C5D05">
        <w:t xml:space="preserve"> (</w:t>
      </w:r>
      <w:r w:rsidR="008D03A2" w:rsidRPr="001C5D05">
        <w:t>Human Rights Watch 2017</w:t>
      </w:r>
      <w:r w:rsidRPr="001C5D05">
        <w:t>). Although anti-drug discourse in the Philippines bears similarity to that originating in the USA, Duterte’s political discourse was stridently anti-Obama (</w:t>
      </w:r>
      <w:r w:rsidR="00DA7C62" w:rsidRPr="001C5D05">
        <w:t>Smith 2016</w:t>
      </w:r>
      <w:r w:rsidRPr="001C5D05">
        <w:t xml:space="preserve">) - he is more positive about President Trump (Rauhala, 2016). </w:t>
      </w:r>
    </w:p>
    <w:p w14:paraId="3FE5434C" w14:textId="77777777" w:rsidR="006F4D62" w:rsidRPr="001C5D05" w:rsidRDefault="006F4D62" w:rsidP="00B54E3D">
      <w:pPr>
        <w:spacing w:line="480" w:lineRule="auto"/>
        <w:rPr>
          <w:b/>
          <w:i/>
        </w:rPr>
      </w:pPr>
    </w:p>
    <w:p w14:paraId="062DF97F" w14:textId="36ED1DA7" w:rsidR="006F4D62" w:rsidRPr="001C5D05" w:rsidRDefault="006F4D62" w:rsidP="00B54E3D">
      <w:pPr>
        <w:spacing w:line="480" w:lineRule="auto"/>
      </w:pPr>
      <w:r w:rsidRPr="001C5D05">
        <w:rPr>
          <w:b/>
          <w:bCs/>
          <w:i/>
          <w:iCs/>
        </w:rPr>
        <w:t>The death penalty for drug offences: global trends</w:t>
      </w:r>
    </w:p>
    <w:p w14:paraId="2CC91F3B" w14:textId="00180E5C" w:rsidR="006F4D62" w:rsidRPr="001C5D05" w:rsidRDefault="006F4D62" w:rsidP="00B54E3D">
      <w:pPr>
        <w:spacing w:line="480" w:lineRule="auto"/>
        <w:ind w:firstLine="720"/>
      </w:pPr>
      <w:r w:rsidRPr="001C5D05">
        <w:t>In 1979, only 10 nations prescribed the death penalty for drug offences; today this number is thirty-three, and in 10 nation states, including Iran, Iraq and Singapore, it is a mandatory punishment (Gallahue and Lines 2015). The death penalty runs contrary to the right to life prompting international bodies to state that it violates international law (Amnesty International et al. 2016). Article 6 of the United Nations International Covenant on Civil and Political Rights permits capital punish</w:t>
      </w:r>
      <w:r w:rsidR="00F3585F" w:rsidRPr="001C5D05">
        <w:t>ment only for the ‘most serious’</w:t>
      </w:r>
      <w:r w:rsidRPr="001C5D05">
        <w:t xml:space="preserve"> offences. Nonetheless, the United Nations, including the Office on Drugs and Crime, state</w:t>
      </w:r>
      <w:r w:rsidR="00F3585F" w:rsidRPr="001C5D05">
        <w:t>s</w:t>
      </w:r>
      <w:r w:rsidRPr="001C5D05">
        <w:t xml:space="preserve"> that drug </w:t>
      </w:r>
      <w:r w:rsidR="00F3585F" w:rsidRPr="001C5D05">
        <w:t>offences do not constitute the ‘most serious’</w:t>
      </w:r>
      <w:r w:rsidRPr="001C5D05">
        <w:t xml:space="preserve"> offences. </w:t>
      </w:r>
    </w:p>
    <w:p w14:paraId="3ABFE6B6" w14:textId="2674D7D9" w:rsidR="006F4D62" w:rsidRPr="001C5D05" w:rsidRDefault="006F4D62" w:rsidP="008D03A2">
      <w:pPr>
        <w:spacing w:line="480" w:lineRule="auto"/>
        <w:ind w:firstLine="720"/>
      </w:pPr>
      <w:r w:rsidRPr="001C5D05">
        <w:t>Approximately 600 people were executed for drug offences worldwide in 2014 mostly in China, Iran, Saudi Arabia, Vietnam, Singapore, Malaysia and Indonesia (Gallahue and Lines 2015), running against the global trend toward abolitionism (Amnesty Internationa</w:t>
      </w:r>
      <w:r w:rsidR="00F3585F" w:rsidRPr="001C5D05">
        <w:t xml:space="preserve">l </w:t>
      </w:r>
      <w:r w:rsidRPr="001C5D05">
        <w:t>2017).</w:t>
      </w:r>
      <w:r w:rsidRPr="001C5D05">
        <w:rPr>
          <w:rStyle w:val="EndnoteReference"/>
        </w:rPr>
        <w:endnoteReference w:id="5"/>
      </w:r>
      <w:r w:rsidRPr="001C5D05">
        <w:t xml:space="preserve"> In some countries, drug offences comprise a significant portion of executions. In Iran, where the death penalty is a mandatory punishment for drug trafficking, over half of executions (2012-2014) were for drug offences (Gallahue </w:t>
      </w:r>
      <w:r w:rsidRPr="001C5D05">
        <w:lastRenderedPageBreak/>
        <w:t>and Lines</w:t>
      </w:r>
      <w:r w:rsidR="008D03A2" w:rsidRPr="001C5D05">
        <w:t xml:space="preserve"> 2015</w:t>
      </w:r>
      <w:r w:rsidRPr="001C5D05">
        <w:t xml:space="preserve"> </w:t>
      </w:r>
      <w:r w:rsidR="008D03A2" w:rsidRPr="001C5D05">
        <w:t>p.</w:t>
      </w:r>
      <w:r w:rsidRPr="001C5D05">
        <w:t>14). During the same period, drug offenders comprised around 30% of those executed in Saudia Arabia (Gallahue and Lines</w:t>
      </w:r>
      <w:r w:rsidR="008D03A2" w:rsidRPr="001C5D05">
        <w:t xml:space="preserve"> 2015, p.</w:t>
      </w:r>
      <w:r w:rsidRPr="001C5D05">
        <w:t xml:space="preserve"> 14). In 2014, drug offenders comprised 63% of those executed in Vietnam and 100% of those executed in Indonesia (Gallahue and Lines 2015). Many hundreds are on death row for drug offences worldwide (Amnesty International et al. 2016b). In Thailand, over half o</w:t>
      </w:r>
      <w:r w:rsidR="00F3585F" w:rsidRPr="001C5D05">
        <w:t>f the 413 people on death row a</w:t>
      </w:r>
      <w:r w:rsidRPr="001C5D05">
        <w:t>re drug offende</w:t>
      </w:r>
      <w:r w:rsidR="008D03A2" w:rsidRPr="001C5D05">
        <w:t>rs (Amnesty International 2016a, p.</w:t>
      </w:r>
      <w:r w:rsidRPr="001C5D05">
        <w:t xml:space="preserve"> 41). In Vietnam 47 new death sentences were given out in 2015, of which 27 were drug relat</w:t>
      </w:r>
      <w:r w:rsidR="008D03A2" w:rsidRPr="001C5D05">
        <w:t>ed (Amnesty International 2016a,</w:t>
      </w:r>
      <w:r w:rsidRPr="001C5D05">
        <w:t xml:space="preserve"> </w:t>
      </w:r>
      <w:r w:rsidR="008D03A2" w:rsidRPr="001C5D05">
        <w:t>p.</w:t>
      </w:r>
      <w:r w:rsidRPr="001C5D05">
        <w:t>41). Over half of those on death row in Indonesia, are convicted drug offenders (Death Penalty Worldwide 2016).</w:t>
      </w:r>
    </w:p>
    <w:p w14:paraId="545427A0" w14:textId="25FE958B" w:rsidR="006F4D62" w:rsidRPr="001C5D05" w:rsidRDefault="006F4D62" w:rsidP="000A3272">
      <w:pPr>
        <w:spacing w:line="480" w:lineRule="auto"/>
        <w:ind w:firstLine="720"/>
      </w:pPr>
      <w:r w:rsidRPr="001C5D05">
        <w:t>Figures are</w:t>
      </w:r>
      <w:r w:rsidR="00F3585F" w:rsidRPr="001C5D05">
        <w:t xml:space="preserve"> unfortunately only an estimate</w:t>
      </w:r>
      <w:r w:rsidRPr="001C5D05">
        <w:t>. In some countries, such as China, they are a state secret (Gallahue and Lines 2015). Elsewhere, drug offenders may be tried as terrorists, for example, in Iraq, large-scale drug trafficking offences can be categorised as terrorism (Death Penalty Worldwide 2016).</w:t>
      </w:r>
      <w:r w:rsidRPr="001C5D05">
        <w:rPr>
          <w:rStyle w:val="EndnoteReference"/>
        </w:rPr>
        <w:endnoteReference w:id="6"/>
      </w:r>
      <w:r w:rsidRPr="001C5D05">
        <w:t xml:space="preserve"> This compounds legal ambiguities in the classification of ‘drug trafficking’, which can include international transport, cultivation, street level dealing and even possession for personal use (Gottwald 2006). Drug offenders are</w:t>
      </w:r>
      <w:r w:rsidR="00F3585F" w:rsidRPr="001C5D05">
        <w:t xml:space="preserve"> vulnerable to </w:t>
      </w:r>
      <w:r w:rsidRPr="001C5D05">
        <w:t xml:space="preserve">extrajudicial punishments. Human Rights Watch document extrajudicial killing of drug users and dealers in Mexico, El Salvador, Honduras, and Guatemala, and record that 2,800 individuals were extra judicially killed in Thailand’s ‘war on drugs’ (Human Rights Watch 2014). At the time of writing, more than 7000 alleged drug addicts and dealers have been extra-judicially killed in the Philippines following President Duterte’s election in May 2016, not only in police operations, but apparently also by members of </w:t>
      </w:r>
      <w:r w:rsidR="008D03A2" w:rsidRPr="001C5D05">
        <w:t xml:space="preserve">the public (Human Rights Watch </w:t>
      </w:r>
      <w:r w:rsidRPr="001C5D05">
        <w:t xml:space="preserve">2017). </w:t>
      </w:r>
    </w:p>
    <w:p w14:paraId="2F824E72" w14:textId="56BFA9D7" w:rsidR="006F4D62" w:rsidRPr="001C5D05" w:rsidRDefault="006F4D62" w:rsidP="00B54E3D">
      <w:pPr>
        <w:spacing w:line="480" w:lineRule="auto"/>
        <w:ind w:firstLine="720"/>
      </w:pPr>
      <w:r w:rsidRPr="001C5D05">
        <w:t>The targets of the death p</w:t>
      </w:r>
      <w:r w:rsidR="00F3585F" w:rsidRPr="001C5D05">
        <w:t xml:space="preserve">enalty </w:t>
      </w:r>
      <w:r w:rsidRPr="001C5D05">
        <w:t xml:space="preserve">are rarely those at the ‘top’ of the drug trade, but tend to be </w:t>
      </w:r>
      <w:r w:rsidR="00F3585F" w:rsidRPr="001C5D05">
        <w:t>low level offenders</w:t>
      </w:r>
      <w:r w:rsidRPr="001C5D05">
        <w:t xml:space="preserve">, especially drug mules (Green 1998). Research on drug </w:t>
      </w:r>
      <w:r w:rsidRPr="001C5D05">
        <w:lastRenderedPageBreak/>
        <w:t xml:space="preserve">mules routinely documents the criminalisation of vulnerable individuals, many of whom became involved due to coercion, exploitation and threats (Huling 1996; Sudbury 2002). Where the law does not distinguish between roles in the drug trade, users and street dealers may be executed as ‘drug traffickers’. Only Singapore recognises drug mules as a distinct category and exempts them from capital punishment (Novak 2014). </w:t>
      </w:r>
    </w:p>
    <w:p w14:paraId="34A2B831" w14:textId="3BF9D8F3" w:rsidR="006F4D62" w:rsidRPr="001C5D05" w:rsidRDefault="006F4D62" w:rsidP="007857EB">
      <w:pPr>
        <w:spacing w:line="480" w:lineRule="auto"/>
        <w:ind w:firstLine="720"/>
      </w:pPr>
      <w:r w:rsidRPr="001C5D05">
        <w:t>Foreign nationals are especially vulnerable to the death penalty for drug offences. 46% (73 of 158) of those executed in Saudi Arabia in 2015 were foreign nationa</w:t>
      </w:r>
      <w:r w:rsidR="008D03A2" w:rsidRPr="001C5D05">
        <w:t>ls (Amnesty International 2016a</w:t>
      </w:r>
      <w:r w:rsidRPr="001C5D05">
        <w:t xml:space="preserve"> </w:t>
      </w:r>
      <w:r w:rsidR="008D03A2" w:rsidRPr="001C5D05">
        <w:t>p.</w:t>
      </w:r>
      <w:r w:rsidRPr="001C5D05">
        <w:t>54). In Indonesia in 2014, 13 out of the 14 people executed were foreign nationals, including men from Brazil, the Netherlands, Vietnam, Malawi and Nigeria (</w:t>
      </w:r>
      <w:r w:rsidR="00DA7C62" w:rsidRPr="001C5D05">
        <w:t>Phipps 2015</w:t>
      </w:r>
      <w:r w:rsidRPr="001C5D05">
        <w:t>). In 2016, three of the four drug offenders executed were forei</w:t>
      </w:r>
      <w:r w:rsidR="00DA7C62" w:rsidRPr="001C5D05">
        <w:t>gn nationals (Lamb 2016</w:t>
      </w:r>
      <w:r w:rsidRPr="001C5D05">
        <w:t xml:space="preserve">). </w:t>
      </w:r>
      <w:r w:rsidR="00F3585F" w:rsidRPr="001C5D05">
        <w:t>M</w:t>
      </w:r>
      <w:r w:rsidRPr="001C5D05">
        <w:t>ost were low-level traffickers and probably mules. One, Martin Anderson, a Ghanian man, was arrested with just 5</w:t>
      </w:r>
      <w:r w:rsidR="00DA7C62" w:rsidRPr="001C5D05">
        <w:t>0g of heroin (Phipps 2015</w:t>
      </w:r>
      <w:r w:rsidRPr="001C5D05">
        <w:t xml:space="preserve">). This quantity is so small as to barely be profitable, suggesting </w:t>
      </w:r>
      <w:r w:rsidR="00F3585F" w:rsidRPr="001C5D05">
        <w:t>he may</w:t>
      </w:r>
      <w:r w:rsidRPr="001C5D05">
        <w:t xml:space="preserve"> have been used as a decoy </w:t>
      </w:r>
      <w:r w:rsidR="008D03A2" w:rsidRPr="001C5D05">
        <w:t>(see Fleetwood 2014, p.</w:t>
      </w:r>
      <w:r w:rsidRPr="001C5D05">
        <w:t xml:space="preserve">87). Since drug mules are likely to become involved due to debts or poverty, they are often unable to fund an adequate legal defence. </w:t>
      </w:r>
    </w:p>
    <w:p w14:paraId="32F19F00" w14:textId="77777777" w:rsidR="006F4D62" w:rsidRPr="001C5D05" w:rsidRDefault="006F4D62" w:rsidP="10935CA8">
      <w:pPr>
        <w:spacing w:line="480" w:lineRule="auto"/>
        <w:rPr>
          <w:b/>
          <w:bCs/>
        </w:rPr>
      </w:pPr>
    </w:p>
    <w:p w14:paraId="33F8901D" w14:textId="77777777" w:rsidR="006F4D62" w:rsidRPr="001C5D05" w:rsidRDefault="006F4D62" w:rsidP="10935CA8">
      <w:pPr>
        <w:spacing w:line="480" w:lineRule="auto"/>
        <w:rPr>
          <w:rFonts w:eastAsia="Times" w:cs="Times"/>
          <w:b/>
          <w:bCs/>
        </w:rPr>
      </w:pPr>
      <w:r w:rsidRPr="001C5D05">
        <w:rPr>
          <w:b/>
          <w:bCs/>
        </w:rPr>
        <w:t>Women, the death penalty and drug offences</w:t>
      </w:r>
    </w:p>
    <w:p w14:paraId="61BD8A8A" w14:textId="13A3ACD8" w:rsidR="006F4D62" w:rsidRPr="001C5D05" w:rsidRDefault="006F4D62" w:rsidP="00A41784">
      <w:pPr>
        <w:spacing w:line="480" w:lineRule="auto"/>
        <w:ind w:firstLine="720"/>
      </w:pPr>
      <w:r w:rsidRPr="001C5D05">
        <w:t>Reflecting the fact that the death penalty has been overwhelmingly meted out to men, little attention has been paid to women; their number seemingly being too few to count (exceptionally, Hoyle 2015). Whilst this is true for murder, which has been traditionally most associated with the death penalty, women are criminalised for drug offences at an extraordinary rate</w:t>
      </w:r>
      <w:r w:rsidRPr="001C5D05">
        <w:rPr>
          <w:rFonts w:eastAsia="Times" w:cs="Times"/>
        </w:rPr>
        <w:t>, representing around 30% of worldwide arrests for drug trafficking (UNODC 2011). The number of women in prison worldwide increased by about 50% since 2000,</w:t>
      </w:r>
      <w:r w:rsidR="001250B9" w:rsidRPr="001C5D05">
        <w:rPr>
          <w:rFonts w:eastAsia="Times" w:cs="Times"/>
        </w:rPr>
        <w:t xml:space="preserve"> much faster than men (Walmsley 2016),</w:t>
      </w:r>
      <w:r w:rsidRPr="001C5D05">
        <w:rPr>
          <w:rFonts w:eastAsia="Times" w:cs="Times"/>
        </w:rPr>
        <w:t xml:space="preserve"> mainly due to drug </w:t>
      </w:r>
      <w:r w:rsidRPr="001C5D05">
        <w:rPr>
          <w:rFonts w:eastAsia="Times" w:cs="Times"/>
        </w:rPr>
        <w:lastRenderedPageBreak/>
        <w:t xml:space="preserve">offences (Penal Reform International 2016). </w:t>
      </w:r>
      <w:r w:rsidR="001250B9" w:rsidRPr="001C5D05">
        <w:t>I</w:t>
      </w:r>
      <w:r w:rsidRPr="001C5D05">
        <w:t>n Southern Europe and Latin America, drug offenders comprise up to three quarters of the female priso</w:t>
      </w:r>
      <w:r w:rsidR="008D03A2" w:rsidRPr="001C5D05">
        <w:t>n population (Iakobishvili 2012</w:t>
      </w:r>
      <w:r w:rsidRPr="001C5D05">
        <w:t xml:space="preserve">; Giacomello 2014). Research confirms that women are most frequently to be found at the lowest level of the drug trade, especially as drug mules (Fleetwood 2014). Yet, little is known about the extent to which </w:t>
      </w:r>
      <w:r w:rsidR="00D96163" w:rsidRPr="001C5D05">
        <w:t>they</w:t>
      </w:r>
      <w:r w:rsidRPr="001C5D05">
        <w:t xml:space="preserve"> are </w:t>
      </w:r>
      <w:r w:rsidR="00610A32" w:rsidRPr="001C5D05">
        <w:t>subject to the death penalty</w:t>
      </w:r>
      <w:r w:rsidRPr="001C5D05">
        <w:t xml:space="preserve">. </w:t>
      </w:r>
    </w:p>
    <w:p w14:paraId="3F78C073" w14:textId="5824EC37" w:rsidR="006F4D62" w:rsidRPr="001C5D05" w:rsidRDefault="006F4D62" w:rsidP="0075520B">
      <w:pPr>
        <w:spacing w:line="480" w:lineRule="auto"/>
        <w:ind w:firstLine="720"/>
      </w:pPr>
      <w:r w:rsidRPr="001C5D05">
        <w:t>Data on women subject to the death penalty is admittedly extremely scant, and sex is not routinely reported.</w:t>
      </w:r>
      <w:r w:rsidRPr="001C5D05">
        <w:rPr>
          <w:rStyle w:val="EndnoteReference"/>
        </w:rPr>
        <w:endnoteReference w:id="7"/>
      </w:r>
      <w:r w:rsidRPr="001C5D05">
        <w:t xml:space="preserve"> Data regarding women may be even more closely guarded than for men. In Iran for example, executions of women are less likely to be officially reported than men since they are controversial (Iran Human Rights 2012). This section draws on available data from civil society organisations and press reporting. Available data confirms that a small but significant number of women are subject to the death penalty for drug offences, and that in some nations, drug offences are the primary driver behind capital punishment for women. Like their male counterparts, many are foreign, from poor countries; many are mules. </w:t>
      </w:r>
    </w:p>
    <w:p w14:paraId="79FC124A" w14:textId="27469358" w:rsidR="006F4D62" w:rsidRPr="001C5D05" w:rsidRDefault="006F4D62" w:rsidP="0075520B">
      <w:pPr>
        <w:spacing w:line="480" w:lineRule="auto"/>
        <w:ind w:firstLine="720"/>
      </w:pPr>
      <w:r w:rsidRPr="001C5D05">
        <w:t xml:space="preserve">China leads the world in executions, including for drug offences. Although no official data is available, international reporting reveals that a number of women have been executed for drug trafficking. In 2013, a Filipina woman was executed for carrying </w:t>
      </w:r>
      <w:r w:rsidR="00D37AB5" w:rsidRPr="001C5D05">
        <w:t>approximately</w:t>
      </w:r>
      <w:r w:rsidRPr="001C5D05">
        <w:t xml:space="preserve"> 6 kilos of heroin into China (Santos 2013a). She was the fifth Filipino to be executed in China for drug offences; most of those (three of the five) executed were women (Santos 2013b). At that time, 213 other Filipinos were imprisoned in China for drugs offences (Santos 2013a). An estimated 200 Zimbabweans are on death row in China for drug offences, of which ‘most’ are women (</w:t>
      </w:r>
      <w:r w:rsidR="00DA7C62" w:rsidRPr="001C5D05">
        <w:t>Murwira</w:t>
      </w:r>
      <w:r w:rsidRPr="001C5D05">
        <w:t xml:space="preserve"> 2016). </w:t>
      </w:r>
    </w:p>
    <w:p w14:paraId="5656A4AE" w14:textId="22D2722C" w:rsidR="006F4D62" w:rsidRPr="001C5D05" w:rsidRDefault="006F4D62" w:rsidP="002871D2">
      <w:pPr>
        <w:spacing w:line="480" w:lineRule="auto"/>
        <w:ind w:firstLine="720"/>
      </w:pPr>
      <w:r w:rsidRPr="001C5D05">
        <w:t xml:space="preserve">In Iran, drug offences have been the main driver of capital punishment since 2010, and women are not exempt (Death Penalty Worldwide 2016; Gallahue and Lines </w:t>
      </w:r>
      <w:r w:rsidRPr="001C5D05">
        <w:lastRenderedPageBreak/>
        <w:t>2015). In 2015, 19 women</w:t>
      </w:r>
      <w:r w:rsidR="00E441BA" w:rsidRPr="001C5D05">
        <w:t xml:space="preserve"> were executed</w:t>
      </w:r>
      <w:r w:rsidRPr="001C5D05">
        <w:t>, of whom a</w:t>
      </w:r>
      <w:r w:rsidR="00E441BA" w:rsidRPr="001C5D05">
        <w:t xml:space="preserve">t least 13 were drug offenders </w:t>
      </w:r>
      <w:r w:rsidRPr="001C5D05">
        <w:t>(International Campaig</w:t>
      </w:r>
      <w:r w:rsidR="008D03A2" w:rsidRPr="001C5D05">
        <w:t>n for Human Rights in Iran 2016</w:t>
      </w:r>
      <w:r w:rsidRPr="001C5D05">
        <w:t xml:space="preserve"> </w:t>
      </w:r>
      <w:r w:rsidR="008D03A2" w:rsidRPr="001C5D05">
        <w:t>p.</w:t>
      </w:r>
      <w:r w:rsidRPr="001C5D05">
        <w:t xml:space="preserve">28). Although this is a small portion of the 1,052 people executed </w:t>
      </w:r>
      <w:r w:rsidR="00E441BA" w:rsidRPr="001C5D05">
        <w:t xml:space="preserve">for drug offences </w:t>
      </w:r>
      <w:r w:rsidRPr="001C5D05">
        <w:t xml:space="preserve">that year, this is an established trend. 18 of 26 women executed in 2014, and 21 of 30 executed in 2013 were drug offenders (Iran Human </w:t>
      </w:r>
      <w:r w:rsidR="008D03A2" w:rsidRPr="001C5D05">
        <w:t>Rights, 2015,</w:t>
      </w:r>
      <w:r w:rsidRPr="001C5D05">
        <w:t xml:space="preserve"> </w:t>
      </w:r>
      <w:r w:rsidR="008D03A2" w:rsidRPr="001C5D05">
        <w:t>p.</w:t>
      </w:r>
      <w:r w:rsidRPr="001C5D05">
        <w:t>5, 7).  Whilst women represent a small portion of the total of executions, drug offences dominate women’s executions in Iran. Similarly, in Thailand,</w:t>
      </w:r>
      <w:r w:rsidR="00E441BA" w:rsidRPr="001C5D05">
        <w:t xml:space="preserve"> most (80%) of the 50 women </w:t>
      </w:r>
      <w:r w:rsidRPr="001C5D05">
        <w:t>on death row in 2016</w:t>
      </w:r>
      <w:r w:rsidR="00E441BA" w:rsidRPr="001C5D05">
        <w:t xml:space="preserve"> </w:t>
      </w:r>
      <w:r w:rsidRPr="001C5D05">
        <w:t>were drug offenders (Amnesty International 2</w:t>
      </w:r>
      <w:r w:rsidR="008D03A2" w:rsidRPr="001C5D05">
        <w:t>016a</w:t>
      </w:r>
      <w:r w:rsidRPr="001C5D05">
        <w:t xml:space="preserve"> </w:t>
      </w:r>
      <w:r w:rsidR="008D03A2" w:rsidRPr="001C5D05">
        <w:t>p.</w:t>
      </w:r>
      <w:r w:rsidRPr="001C5D05">
        <w:t>41). This is much higher than for the general population</w:t>
      </w:r>
      <w:r w:rsidR="00E441BA" w:rsidRPr="001C5D05">
        <w:t xml:space="preserve"> where around 50% are drug offenders </w:t>
      </w:r>
      <w:r w:rsidRPr="001C5D05">
        <w:t xml:space="preserve">(Death Penalty Worldwide 2016), yet, as a low application state few are executed (Gallahue and Lines 2015). In Indonesia, two women were executed in 2014, both for drug trafficking (described below); a small number, including Lindsay Sandiford, are on death row. </w:t>
      </w:r>
    </w:p>
    <w:p w14:paraId="54F89488" w14:textId="41B0E4B9" w:rsidR="006F4D62" w:rsidRPr="001C5D05" w:rsidRDefault="006F4D62" w:rsidP="00A41784">
      <w:pPr>
        <w:spacing w:line="480" w:lineRule="auto"/>
        <w:ind w:firstLine="720"/>
      </w:pPr>
      <w:r w:rsidRPr="001C5D05">
        <w:t>Saudi Arabia ‘is one of the very few states in the world which have a high rate of executions for wom</w:t>
      </w:r>
      <w:r w:rsidR="008D03A2" w:rsidRPr="001C5D05">
        <w:t>en’ (Amnesty International 2008</w:t>
      </w:r>
      <w:r w:rsidRPr="001C5D05">
        <w:t xml:space="preserve"> </w:t>
      </w:r>
      <w:r w:rsidR="008D03A2" w:rsidRPr="001C5D05">
        <w:t>p.</w:t>
      </w:r>
      <w:r w:rsidRPr="001C5D05">
        <w:t>36). Amnesty International note that at least 40 women (mainly foreign workers) have been executed since 1990, including 40% for non-violent offences including drug offences (</w:t>
      </w:r>
      <w:r w:rsidR="008D03A2" w:rsidRPr="001C5D05">
        <w:t>Amnesty International 2008</w:t>
      </w:r>
      <w:r w:rsidRPr="001C5D05">
        <w:t xml:space="preserve"> </w:t>
      </w:r>
      <w:r w:rsidR="008D03A2" w:rsidRPr="001C5D05">
        <w:t>p.</w:t>
      </w:r>
      <w:r w:rsidRPr="001C5D05">
        <w:t xml:space="preserve">36). Similarly, 40% (64) of the 154 executed in 2015 were drug offenders </w:t>
      </w:r>
      <w:r w:rsidR="008D03A2" w:rsidRPr="001C5D05">
        <w:t>(Amnesty International 2016a</w:t>
      </w:r>
      <w:r w:rsidRPr="001C5D05">
        <w:t xml:space="preserve"> </w:t>
      </w:r>
      <w:r w:rsidR="008D03A2" w:rsidRPr="001C5D05">
        <w:t>p.</w:t>
      </w:r>
      <w:r w:rsidRPr="001C5D05">
        <w:t>47).</w:t>
      </w:r>
      <w:r w:rsidRPr="001C5D05">
        <w:rPr>
          <w:rStyle w:val="EndnoteReference"/>
        </w:rPr>
        <w:endnoteReference w:id="8"/>
      </w:r>
      <w:r w:rsidRPr="001C5D05">
        <w:t xml:space="preserve"> This number included four women, all foreign nationa</w:t>
      </w:r>
      <w:r w:rsidR="008D03A2" w:rsidRPr="001C5D05">
        <w:t>ls (Amnesty International 2016a,</w:t>
      </w:r>
      <w:r w:rsidRPr="001C5D05">
        <w:t xml:space="preserve"> </w:t>
      </w:r>
      <w:r w:rsidR="008D03A2" w:rsidRPr="001C5D05">
        <w:t>p.</w:t>
      </w:r>
      <w:r w:rsidRPr="001C5D05">
        <w:t>47, 53). Amnesty International report that women, especially foreign national women, are disproportionately likely to be subject to capital punishment, noting insufficient legal support and systemic discrimination (Amnesty International 2008). By contrast, women may be less likely to be executed than men in some nations. In 2012, Pakistan recommenced executions, following a long moratorium. Over the past 10 years,</w:t>
      </w:r>
      <w:r w:rsidRPr="001C5D05">
        <w:rPr>
          <w:rStyle w:val="EndnoteReference"/>
        </w:rPr>
        <w:endnoteReference w:id="9"/>
      </w:r>
      <w:r w:rsidRPr="001C5D05">
        <w:t xml:space="preserve"> 47 women were awarded the death penalty, but none were executed (Human Rights Commission of Pakistan n.d). In contrast, 3027 men </w:t>
      </w:r>
      <w:r w:rsidRPr="001C5D05">
        <w:lastRenderedPageBreak/>
        <w:t xml:space="preserve">were awarded the death penalty, and 603 men were executed for drug offences (Human Rights Commission of Pakistan n.d). </w:t>
      </w:r>
    </w:p>
    <w:p w14:paraId="5F66FFC5" w14:textId="13BC2856" w:rsidR="006F4D62" w:rsidRPr="001C5D05" w:rsidRDefault="006F4D62" w:rsidP="00A41784">
      <w:pPr>
        <w:spacing w:line="480" w:lineRule="auto"/>
        <w:ind w:firstLine="720"/>
      </w:pPr>
      <w:r w:rsidRPr="001C5D05">
        <w:t>Where we could find media or non-governmental reports describing the women subject to executions for drug offences, all were low-level offenders typically involved due to poverty, including the following:</w:t>
      </w:r>
    </w:p>
    <w:p w14:paraId="0D6F04A8" w14:textId="77777777" w:rsidR="006F4D62" w:rsidRPr="001C5D05" w:rsidRDefault="006F4D62" w:rsidP="00A41784">
      <w:pPr>
        <w:pStyle w:val="ListParagraph"/>
        <w:numPr>
          <w:ilvl w:val="0"/>
          <w:numId w:val="12"/>
        </w:numPr>
        <w:spacing w:line="480" w:lineRule="auto"/>
      </w:pPr>
      <w:r w:rsidRPr="001C5D05">
        <w:t xml:space="preserve">Leila Hayati was executed in Iran for drug offences in 2011. Amnesty International report that she, and two other women also subject to the death penalty at that time, were low-level drug offenders involved due to poverty. All were the breadwinners in families with young children (Amnesty International 2011). </w:t>
      </w:r>
    </w:p>
    <w:p w14:paraId="77125D92" w14:textId="77777777" w:rsidR="006F4D62" w:rsidRPr="001C5D05" w:rsidRDefault="006F4D62" w:rsidP="10935CA8">
      <w:pPr>
        <w:pStyle w:val="ListParagraph"/>
        <w:numPr>
          <w:ilvl w:val="0"/>
          <w:numId w:val="12"/>
        </w:numPr>
        <w:spacing w:line="480" w:lineRule="auto"/>
        <w:rPr>
          <w:i/>
          <w:iCs/>
        </w:rPr>
      </w:pPr>
      <w:r w:rsidRPr="001C5D05">
        <w:t xml:space="preserve">Two women were executed in Indonesia in 2015 for drug offences. Tran Bich Hanh (from Vietnam) was charged with importing just over 1 kilo of methamphetamine concealed in her stomach. Rani Andriani (from Indonesia) was reportedly a drug mule, paid to carry 3.5 kilos of heroin into Indonesia (Open Society Foundation 2016). </w:t>
      </w:r>
    </w:p>
    <w:p w14:paraId="169CA141" w14:textId="2A043FA8" w:rsidR="006F4D62" w:rsidRPr="001C5D05" w:rsidRDefault="006F4D62" w:rsidP="10935CA8">
      <w:pPr>
        <w:pStyle w:val="ListParagraph"/>
        <w:numPr>
          <w:ilvl w:val="0"/>
          <w:numId w:val="12"/>
        </w:numPr>
        <w:spacing w:line="480" w:lineRule="auto"/>
        <w:rPr>
          <w:i/>
          <w:iCs/>
        </w:rPr>
      </w:pPr>
      <w:r w:rsidRPr="001C5D05">
        <w:t>Mary Jane Veloso, a Filipina woman, escaped execution for drug trafficking in Indonesia in 2014. She alleged that she had been trafficked into carrying drugs. She was given a stay of execution to act as a witness in the case against her trafficker who came forward at the</w:t>
      </w:r>
      <w:r w:rsidR="00DA7C62" w:rsidRPr="001C5D05">
        <w:t xml:space="preserve"> last minute (Holmes 2016</w:t>
      </w:r>
      <w:r w:rsidRPr="001C5D05">
        <w:t xml:space="preserve">). </w:t>
      </w:r>
    </w:p>
    <w:p w14:paraId="11E2EDCB" w14:textId="6B9F91AC" w:rsidR="006F4D62" w:rsidRPr="001C5D05" w:rsidRDefault="006F4D62" w:rsidP="10935CA8">
      <w:pPr>
        <w:pStyle w:val="ListParagraph"/>
        <w:numPr>
          <w:ilvl w:val="0"/>
          <w:numId w:val="12"/>
        </w:numPr>
        <w:spacing w:line="480" w:lineRule="auto"/>
        <w:rPr>
          <w:i/>
          <w:iCs/>
        </w:rPr>
      </w:pPr>
      <w:r w:rsidRPr="001C5D05">
        <w:rPr>
          <w:rFonts w:eastAsia="Times New Roman" w:cs="Times New Roman"/>
        </w:rPr>
        <w:t xml:space="preserve">Nguyen Thi Huong, a 73-year-old Australian woman, was convicted of heroin trafficking into Vietnam, concealed in bars of soap in her luggage. She claimed that the soap was given to her, and she did not know she was carrying drugs. Her death sentence was commuted to life in 2016 </w:t>
      </w:r>
      <w:r w:rsidR="000E6E5D" w:rsidRPr="001C5D05">
        <w:rPr>
          <w:rFonts w:eastAsia="Times New Roman" w:cs="Times New Roman"/>
        </w:rPr>
        <w:t xml:space="preserve">Associated Press and News Corp Australia Network </w:t>
      </w:r>
      <w:r w:rsidRPr="001C5D05">
        <w:rPr>
          <w:rFonts w:eastAsia="Times New Roman" w:cs="Times New Roman"/>
        </w:rPr>
        <w:t xml:space="preserve">2016). </w:t>
      </w:r>
    </w:p>
    <w:p w14:paraId="49C93A8B" w14:textId="77777777" w:rsidR="006F4D62" w:rsidRPr="001C5D05" w:rsidRDefault="006F4D62" w:rsidP="00A41784">
      <w:pPr>
        <w:spacing w:line="480" w:lineRule="auto"/>
      </w:pPr>
    </w:p>
    <w:p w14:paraId="67481A99" w14:textId="27969F23" w:rsidR="006F4D62" w:rsidRPr="001C5D05" w:rsidRDefault="006F4D62" w:rsidP="10935CA8">
      <w:pPr>
        <w:spacing w:line="480" w:lineRule="auto"/>
        <w:rPr>
          <w:rFonts w:eastAsia="Times New Roman" w:cs="Times New Roman"/>
        </w:rPr>
      </w:pPr>
      <w:r w:rsidRPr="001C5D05">
        <w:lastRenderedPageBreak/>
        <w:t xml:space="preserve"> </w:t>
      </w:r>
      <w:r w:rsidRPr="001C5D05">
        <w:tab/>
        <w:t xml:space="preserve">Data may be scant, but it demonstrates that women, especially foreign nationals, have been awarded death penalty sentences and some have been executed for drug offences in China, Iran, and Indonesia. Women are also on death row in Thailand, Pakistan and Vietnam for drug offences. In some countries – such as Iran, Thailand and Indonesia - drug offences dominate capital punishment against women. In other countries – such as Pakistan and Saudi Arabia, women comprise a small portion of drug offenders sentenced to death. Very little information on the significance of gender in capital punishment legal cases and proceedings is available: we could only find information on Saudi Arabia, where women are disproportionately punished. Press reporting on those women executed for drug offences finds women involved at the lowest level – mostly as drug mules. Some – such as Lindsay Sandiford, </w:t>
      </w:r>
      <w:r w:rsidRPr="001C5D05">
        <w:rPr>
          <w:rFonts w:eastAsia="Times New Roman" w:cs="Times New Roman"/>
        </w:rPr>
        <w:t>Nguyen Thi Huong and Mary Jane Veloso - claim that they did not know they were carrying drugs.</w:t>
      </w:r>
    </w:p>
    <w:p w14:paraId="03180C02" w14:textId="77777777" w:rsidR="006F4D62" w:rsidRPr="001C5D05" w:rsidRDefault="006F4D62" w:rsidP="00A41784">
      <w:pPr>
        <w:spacing w:line="480" w:lineRule="auto"/>
        <w:rPr>
          <w:rFonts w:eastAsia="Times New Roman" w:cs="Times New Roman"/>
        </w:rPr>
      </w:pPr>
    </w:p>
    <w:p w14:paraId="4930FDD1" w14:textId="543151B2" w:rsidR="006F4D62" w:rsidRPr="001C5D05" w:rsidRDefault="006F4D62" w:rsidP="00A41784">
      <w:pPr>
        <w:spacing w:line="480" w:lineRule="auto"/>
      </w:pPr>
      <w:r w:rsidRPr="001C5D05">
        <w:rPr>
          <w:b/>
          <w:bCs/>
        </w:rPr>
        <w:t>Discursive analysis: gender, national identity and justice</w:t>
      </w:r>
    </w:p>
    <w:p w14:paraId="77861F54" w14:textId="7DBDBF0F" w:rsidR="006F4D62" w:rsidRPr="001C5D05" w:rsidRDefault="006F4D62" w:rsidP="00715D62">
      <w:pPr>
        <w:spacing w:line="480" w:lineRule="auto"/>
        <w:ind w:firstLine="720"/>
      </w:pPr>
      <w:r w:rsidRPr="001C5D05">
        <w:t>The existing literature on women and the death penalty focuses on execution for murder, mainly in the United States; there is also historical scholarship on Bri</w:t>
      </w:r>
      <w:r w:rsidR="008D03A2" w:rsidRPr="001C5D05">
        <w:t>tain and Ireland (see Ballinger 2000; Black</w:t>
      </w:r>
      <w:r w:rsidRPr="001C5D05">
        <w:t xml:space="preserve"> 2016). This examines the rarity of women’s execution, attributable to the comparatively small number of female murderers and differences in the types of murder committed by women and men </w:t>
      </w:r>
      <w:r w:rsidR="008D03A2" w:rsidRPr="001C5D05">
        <w:t>(</w:t>
      </w:r>
      <w:r w:rsidR="0053176B" w:rsidRPr="001C5D05">
        <w:t>Rapaport 1991; Streib 2006</w:t>
      </w:r>
      <w:r w:rsidRPr="001C5D05">
        <w:t xml:space="preserve">). Arguments about ‘chivalry’ or leniency, either in relation to capital sentencing or the exercise of mercy, have also been mobilised </w:t>
      </w:r>
      <w:r w:rsidR="0053176B" w:rsidRPr="001C5D05">
        <w:t>to explain this rarity (Shapiro 2000; Shatz and Shatz</w:t>
      </w:r>
      <w:r w:rsidRPr="001C5D05">
        <w:t xml:space="preserve"> 2012). Feminist legal scholars and criminologists have highlighted capital punishment as a form of gender discipline, which delineates the boundaries o</w:t>
      </w:r>
      <w:r w:rsidR="0053176B" w:rsidRPr="001C5D05">
        <w:t xml:space="preserve">f normative femininity (Heberle 1999; Ballinger </w:t>
      </w:r>
      <w:r w:rsidRPr="001C5D05">
        <w:t xml:space="preserve">2007). Although it is unusual for women to be executed, negative judgements of their sexuality, race and lack </w:t>
      </w:r>
      <w:r w:rsidRPr="001C5D05">
        <w:lastRenderedPageBreak/>
        <w:t>of respectability potentially make them more vulnerable to the death penalt</w:t>
      </w:r>
      <w:r w:rsidR="0053176B" w:rsidRPr="001C5D05">
        <w:t>y (Heberle 1999; Seitz 2005; Philofsky</w:t>
      </w:r>
      <w:r w:rsidRPr="001C5D05">
        <w:t xml:space="preserve"> 2008).  </w:t>
      </w:r>
    </w:p>
    <w:p w14:paraId="6F6CC2A3" w14:textId="29B7E99F" w:rsidR="006F4D62" w:rsidRPr="001C5D05" w:rsidRDefault="006F4D62" w:rsidP="00C008EE">
      <w:pPr>
        <w:spacing w:line="480" w:lineRule="auto"/>
        <w:ind w:firstLine="720"/>
      </w:pPr>
      <w:r w:rsidRPr="001C5D05">
        <w:t>Instances where women are subject to the death penalty act as flashpoints for public discussion. The centrality of the body to capital punishment means that in certain women’s cases, femininity becomes a spectacle and the state’s violence in enacting the de</w:t>
      </w:r>
      <w:r w:rsidR="0053176B" w:rsidRPr="001C5D05">
        <w:t>ath penalty becomes overt (Rose 1988; Kaufman-Osborn</w:t>
      </w:r>
      <w:r w:rsidRPr="001C5D05">
        <w:t xml:space="preserve"> 2002). The bodies of younger women who are perceived as glamorous and sexually attractive become a focal point for anxieties about both femininity and the death penalty (Seal 2014). Wider cultural meanings of appropriate womanhood, but also of family life, national identity and justice, circulate in relation to such cases (Seal 2014). Portrayals of female drug mules facing the death penalty evoke similar tropes, as well as some new ones. Drug trafficking is different from murder: it is not violent, although it may be perceived as socially harmful. Trafficking drugs does not involve the same level of gender transgression as women’s use of fatal violence, especially since female drug mules are frequently understood to play secondary or minor roles (Fleetwood 2014). Significantly, women on death row for drugs offences are often foreign nationals, meaning that their cases are potentially redolent of competing mean</w:t>
      </w:r>
      <w:r w:rsidR="00EA345D" w:rsidRPr="001C5D05">
        <w:t>ings of national identity</w:t>
      </w:r>
      <w:r w:rsidRPr="001C5D05">
        <w:t xml:space="preserve">. </w:t>
      </w:r>
    </w:p>
    <w:p w14:paraId="0A9BCFF8" w14:textId="293E6B42" w:rsidR="006F4D62" w:rsidRPr="001C5D05" w:rsidRDefault="006F4D62" w:rsidP="00715D62">
      <w:pPr>
        <w:spacing w:line="480" w:lineRule="auto"/>
        <w:ind w:firstLine="720"/>
      </w:pPr>
      <w:r w:rsidRPr="001C5D05">
        <w:t>Australian Schapelle Corby avoided a death sentence when she was convicted of importing marijuana into Indonesia in 2005, although she received a long prison sentence. In the Australian news media, she became a ‘visual symbol of Australian identity and values’ and a ‘symbolic mobilization of the vulnerable west</w:t>
      </w:r>
      <w:r w:rsidR="0053176B" w:rsidRPr="001C5D05">
        <w:t>ern self’ abroad (Lambert 2008</w:t>
      </w:r>
      <w:r w:rsidRPr="001C5D05">
        <w:t xml:space="preserve"> </w:t>
      </w:r>
      <w:r w:rsidR="0053176B" w:rsidRPr="001C5D05">
        <w:t>p.</w:t>
      </w:r>
      <w:r w:rsidRPr="001C5D05">
        <w:t>244). Her case was a ‘national obsession’ and her guilty verdict was met with o</w:t>
      </w:r>
      <w:r w:rsidR="0053176B" w:rsidRPr="001C5D05">
        <w:t>utrage in Australia (Middleweek 2016,</w:t>
      </w:r>
      <w:r w:rsidRPr="001C5D05">
        <w:t xml:space="preserve"> </w:t>
      </w:r>
      <w:r w:rsidR="0053176B" w:rsidRPr="001C5D05">
        <w:t>p.</w:t>
      </w:r>
      <w:r w:rsidRPr="001C5D05">
        <w:t>14). As a young white woman, Corby’s body signified Australian democracy and of racist interpretations of</w:t>
      </w:r>
      <w:r w:rsidR="0053176B" w:rsidRPr="001C5D05">
        <w:t xml:space="preserve"> whiteness </w:t>
      </w:r>
      <w:r w:rsidR="0053176B" w:rsidRPr="001C5D05">
        <w:lastRenderedPageBreak/>
        <w:t>under siege (Lambert 2008; Middleweek</w:t>
      </w:r>
      <w:r w:rsidRPr="001C5D05">
        <w:t xml:space="preserve"> 2016). The case of Lindsay Sandiford, a British woman on death row in Indonesia, is very different, both in terms of her sentencing and her gendered portrayal. In some respects Sandiford’s case is more sympathetic: she co-operated with the police, assisting the arrest of three members of a drugs syndicate, all British, who she claimed had forced her to smuggle cocaine by threatening to harm her son. Despite this, the judge gave the death penalty even though the prosecutor sought a 15-year sentence. Her appeals against the death sentence, and for clemency, have so far been unsuccessful.</w:t>
      </w:r>
    </w:p>
    <w:p w14:paraId="46FFA6D5" w14:textId="01DE226E" w:rsidR="003C2E38" w:rsidRPr="001C5D05" w:rsidRDefault="006F4D62" w:rsidP="002823D5">
      <w:pPr>
        <w:spacing w:line="480" w:lineRule="auto"/>
        <w:ind w:firstLine="720"/>
      </w:pPr>
      <w:r w:rsidRPr="001C5D05">
        <w:t>The rest of this article offers a case study of how Sandiford and her capital case for drug smuggling was framed on Mail Online, the website of the Daily Mail. Mail Online is the most widely read online newspaper</w:t>
      </w:r>
      <w:r w:rsidR="0053176B" w:rsidRPr="001C5D05">
        <w:t xml:space="preserve"> in the UK and worldwide (Mance</w:t>
      </w:r>
      <w:r w:rsidRPr="001C5D05">
        <w:t xml:space="preserve"> 2016). It has been particularly successful in driving traffic via the sharing of its articles on Facebook and is frequently linked to from s</w:t>
      </w:r>
      <w:r w:rsidR="0053176B" w:rsidRPr="001C5D05">
        <w:t>ocial media (Harcup and O’Neill</w:t>
      </w:r>
      <w:r w:rsidRPr="001C5D05">
        <w:t xml:space="preserve"> 2016). Its prominence and reach make it a good source as a case study of the media portrayal of a woman sentenced to death for drug trafficking, as does the sustained and supportive coverage Mail Online has given to Sandiford. Mail Online gave significantly more attention to Sandiford than any other newspaper or newspaper website.</w:t>
      </w:r>
      <w:r w:rsidRPr="001C5D05">
        <w:rPr>
          <w:rStyle w:val="EndnoteReference"/>
        </w:rPr>
        <w:endnoteReference w:id="10"/>
      </w:r>
      <w:r w:rsidRPr="001C5D05">
        <w:t xml:space="preserve"> </w:t>
      </w:r>
      <w:r w:rsidR="003C2E38" w:rsidRPr="001C5D05">
        <w:t>This is especially notable because as Hoyle (2015) argues, as a ‘middle aged, British woman, without young dependents’ Sandiford has for the most part received relatively little media attention</w:t>
      </w:r>
      <w:r w:rsidR="00B21C9A" w:rsidRPr="001C5D05">
        <w:t xml:space="preserve"> (albeit more than most</w:t>
      </w:r>
      <w:r w:rsidR="007572BD" w:rsidRPr="001C5D05">
        <w:t xml:space="preserve"> British men in similar circumstances)</w:t>
      </w:r>
      <w:r w:rsidR="003C2E38" w:rsidRPr="001C5D05">
        <w:t xml:space="preserve">. Mail Online is the exception. </w:t>
      </w:r>
    </w:p>
    <w:p w14:paraId="16860782" w14:textId="1C942CA1" w:rsidR="00641A5A" w:rsidRPr="001C5D05" w:rsidRDefault="683012B4" w:rsidP="00E826FA">
      <w:pPr>
        <w:spacing w:line="480" w:lineRule="auto"/>
        <w:ind w:firstLine="720"/>
      </w:pPr>
      <w:r w:rsidRPr="001C5D05">
        <w:t xml:space="preserve">Well known (and sometimes notorious) for its socially conservative perspective, the Mail is generally supportive of ‘law-and-order’ style criminal justice policies. </w:t>
      </w:r>
      <w:r w:rsidR="00CE57CF" w:rsidRPr="001C5D05">
        <w:t>Nevertheless, it has also engaged in campaigns highlighting criminal justice failures, such as when it argued for the prosecution of the killers of Stephen Lawrenc</w:t>
      </w:r>
      <w:r w:rsidR="0053176B" w:rsidRPr="001C5D05">
        <w:t xml:space="preserve">e in the late </w:t>
      </w:r>
      <w:r w:rsidR="0053176B" w:rsidRPr="001C5D05">
        <w:lastRenderedPageBreak/>
        <w:t>1990s (McLaughlin</w:t>
      </w:r>
      <w:r w:rsidR="00CE57CF" w:rsidRPr="001C5D05">
        <w:t xml:space="preserve"> 2005).</w:t>
      </w:r>
      <w:r w:rsidR="003C2E38" w:rsidRPr="001C5D05">
        <w:t xml:space="preserve"> Its coverage of Sandiford’s case similarly highlights perceived failures of justice, albeit in a very different context.</w:t>
      </w:r>
      <w:r w:rsidR="00CE57CF" w:rsidRPr="001C5D05">
        <w:t xml:space="preserve"> Despite its largely punitive orientation, the Mail does </w:t>
      </w:r>
      <w:r w:rsidR="003C2E38" w:rsidRPr="001C5D05">
        <w:t>not, as part of its editorial line,</w:t>
      </w:r>
      <w:r w:rsidR="00CE57CF" w:rsidRPr="001C5D05">
        <w:t xml:space="preserve"> advocate</w:t>
      </w:r>
      <w:r w:rsidRPr="001C5D05">
        <w:t xml:space="preserve"> the return of capital punishment in the UK</w:t>
      </w:r>
      <w:r w:rsidR="00CE57CF" w:rsidRPr="001C5D05">
        <w:t>, although individual columnists have done so</w:t>
      </w:r>
      <w:r w:rsidR="0053176B" w:rsidRPr="001C5D05">
        <w:t xml:space="preserve"> (see Hitchens</w:t>
      </w:r>
      <w:r w:rsidRPr="001C5D05">
        <w:t xml:space="preserve"> 2012)</w:t>
      </w:r>
      <w:r w:rsidR="00CE57CF" w:rsidRPr="001C5D05">
        <w:t>.</w:t>
      </w:r>
      <w:r w:rsidRPr="001C5D05">
        <w:t xml:space="preserve"> </w:t>
      </w:r>
    </w:p>
    <w:p w14:paraId="4F95D4ED" w14:textId="5BC95621" w:rsidR="005C6D6F" w:rsidRPr="001C5D05" w:rsidRDefault="005C6D6F" w:rsidP="00E826FA">
      <w:pPr>
        <w:spacing w:line="480" w:lineRule="auto"/>
        <w:ind w:firstLine="720"/>
      </w:pPr>
      <w:r w:rsidRPr="001C5D05">
        <w:t>Our analysis focuses on public discussion in a UK-based news source, albeit one with an international readership. The drug war may be globalised, but punishment is enacted and understood in relation to particular national contexts. And while the United Nations may be identifiable as a site of global discourse about the death pena</w:t>
      </w:r>
      <w:r w:rsidR="00BD1381" w:rsidRPr="001C5D05">
        <w:t>lty, it says little about women. We focus on the UK t</w:t>
      </w:r>
      <w:r w:rsidRPr="001C5D05">
        <w:t xml:space="preserve">o </w:t>
      </w:r>
      <w:r w:rsidR="00BD1381" w:rsidRPr="001C5D05">
        <w:t>understand</w:t>
      </w:r>
      <w:r w:rsidRPr="001C5D05">
        <w:t xml:space="preserve"> the </w:t>
      </w:r>
      <w:r w:rsidR="00BD1381" w:rsidRPr="001C5D05">
        <w:t xml:space="preserve">discursive </w:t>
      </w:r>
      <w:r w:rsidRPr="001C5D05">
        <w:t>interplay between women, drugs and the death penalty.</w:t>
      </w:r>
    </w:p>
    <w:p w14:paraId="2EDAB25C" w14:textId="77777777" w:rsidR="0086631E" w:rsidRPr="001C5D05" w:rsidRDefault="0086631E" w:rsidP="00715D62">
      <w:pPr>
        <w:spacing w:line="480" w:lineRule="auto"/>
        <w:ind w:firstLine="720"/>
      </w:pPr>
    </w:p>
    <w:p w14:paraId="16F94CBD" w14:textId="77777777" w:rsidR="00641A5A" w:rsidRPr="001C5D05" w:rsidRDefault="505B4C81" w:rsidP="10935CA8">
      <w:pPr>
        <w:spacing w:line="480" w:lineRule="auto"/>
        <w:rPr>
          <w:b/>
          <w:bCs/>
        </w:rPr>
      </w:pPr>
      <w:r w:rsidRPr="001C5D05">
        <w:rPr>
          <w:b/>
          <w:bCs/>
        </w:rPr>
        <w:t>Media Framing Analysis</w:t>
      </w:r>
    </w:p>
    <w:p w14:paraId="7501B5EA" w14:textId="0C8DEC40" w:rsidR="09837E33" w:rsidRPr="001C5D05" w:rsidRDefault="10935CA8" w:rsidP="00715D62">
      <w:pPr>
        <w:spacing w:line="480" w:lineRule="auto"/>
        <w:ind w:firstLine="720"/>
      </w:pPr>
      <w:r w:rsidRPr="001C5D05">
        <w:t xml:space="preserve"> News frames create an ‘interpretive package’ and are ‘how the media explains event</w:t>
      </w:r>
      <w:r w:rsidR="0053176B" w:rsidRPr="001C5D05">
        <w:t>s and organizes reports’ (Yachi 2014</w:t>
      </w:r>
      <w:r w:rsidRPr="001C5D05">
        <w:t xml:space="preserve"> </w:t>
      </w:r>
      <w:r w:rsidR="0053176B" w:rsidRPr="001C5D05">
        <w:t>p.</w:t>
      </w:r>
      <w:r w:rsidRPr="001C5D05">
        <w:t>677). They create particular viewpoints from whi</w:t>
      </w:r>
      <w:r w:rsidR="0053176B" w:rsidRPr="001C5D05">
        <w:t>ch to present stories (Altheide</w:t>
      </w:r>
      <w:r w:rsidRPr="001C5D05">
        <w:t xml:space="preserve"> 1996), highlight</w:t>
      </w:r>
      <w:r w:rsidR="000866B8" w:rsidRPr="001C5D05">
        <w:t>ing</w:t>
      </w:r>
      <w:r w:rsidRPr="001C5D05">
        <w:t xml:space="preserve"> certain elements of rea</w:t>
      </w:r>
      <w:r w:rsidR="0053176B" w:rsidRPr="001C5D05">
        <w:t>lity and suppress</w:t>
      </w:r>
      <w:r w:rsidR="000866B8" w:rsidRPr="001C5D05">
        <w:t>ing</w:t>
      </w:r>
      <w:r w:rsidR="0053176B" w:rsidRPr="001C5D05">
        <w:t xml:space="preserve"> others (Yachi</w:t>
      </w:r>
      <w:r w:rsidRPr="001C5D05">
        <w:t xml:space="preserve"> 2014). Frames determine how issues will</w:t>
      </w:r>
      <w:r w:rsidR="000866B8" w:rsidRPr="001C5D05">
        <w:t>/will not</w:t>
      </w:r>
      <w:r w:rsidRPr="001C5D05">
        <w:t xml:space="preserve"> be represented</w:t>
      </w:r>
      <w:r w:rsidR="0053176B" w:rsidRPr="001C5D05">
        <w:t xml:space="preserve"> (Altheide</w:t>
      </w:r>
      <w:r w:rsidRPr="001C5D05">
        <w:t xml:space="preserve"> 1996). The chosen frames make certain aspects of a story more salient than others, and shape interpretations of causes and </w:t>
      </w:r>
      <w:r w:rsidR="007231DF" w:rsidRPr="001C5D05">
        <w:t>moral evaluations (Yachi</w:t>
      </w:r>
      <w:r w:rsidRPr="001C5D05">
        <w:t xml:space="preserve"> 2014). Media frames are constructed through language, </w:t>
      </w:r>
      <w:r w:rsidR="000866B8" w:rsidRPr="001C5D05">
        <w:t>and are</w:t>
      </w:r>
      <w:r w:rsidRPr="001C5D05">
        <w:t xml:space="preserve"> visually constituted through images. News sources can be understood as constituting public debate</w:t>
      </w:r>
      <w:r w:rsidR="007231DF" w:rsidRPr="001C5D05">
        <w:t xml:space="preserve"> on an issue (Baumgartner, De Boef and Boydstun</w:t>
      </w:r>
      <w:r w:rsidRPr="001C5D05">
        <w:t xml:space="preserve"> 2008). This does not mean that their readers necessarily agree with their interpretation of an issue, but that it is brought to wider attention and enters public discourse through its media representation. </w:t>
      </w:r>
      <w:r w:rsidR="000866B8" w:rsidRPr="001C5D05">
        <w:t>Since t</w:t>
      </w:r>
      <w:r w:rsidRPr="001C5D05">
        <w:t>here are few sources of reliable information on women, drugs</w:t>
      </w:r>
      <w:r w:rsidR="000866B8" w:rsidRPr="001C5D05">
        <w:t xml:space="preserve"> offences and the death penalty, </w:t>
      </w:r>
      <w:r w:rsidRPr="001C5D05">
        <w:lastRenderedPageBreak/>
        <w:t>news media coverage of certain women's cases is one of the only forms of readily available information on this issue, making it essential to analyse the meanings it creates.</w:t>
      </w:r>
    </w:p>
    <w:p w14:paraId="5DACC83E" w14:textId="42049250" w:rsidR="00641A5A" w:rsidRPr="001C5D05" w:rsidRDefault="10935CA8" w:rsidP="00715D62">
      <w:pPr>
        <w:spacing w:line="480" w:lineRule="auto"/>
        <w:ind w:firstLine="720"/>
      </w:pPr>
      <w:r w:rsidRPr="001C5D05">
        <w:t>Criminologists increasingly pay attention to the relationship between text and image in news media portrayals and to the importance of visual representation in conveying the meaning and emotions of crime stories to audiences (Ayres and Jewkes, 2012). Visuals can be read instantaneously and are remembered fo</w:t>
      </w:r>
      <w:r w:rsidR="0053176B" w:rsidRPr="001C5D05">
        <w:t>r longer than are words (Wardle</w:t>
      </w:r>
      <w:r w:rsidRPr="001C5D05">
        <w:t xml:space="preserve"> 2007;</w:t>
      </w:r>
      <w:r w:rsidR="0053176B" w:rsidRPr="001C5D05">
        <w:t xml:space="preserve"> Jones and Wardle</w:t>
      </w:r>
      <w:r w:rsidRPr="001C5D05">
        <w:t xml:space="preserve"> 2008). Analyses of images in crime news highlight that the selection of photographs imposes meaning and </w:t>
      </w:r>
      <w:r w:rsidR="0053176B" w:rsidRPr="001C5D05">
        <w:t>has an ideological role (Wardle 2007; Jones and Wardle 2008; Ayres and Jewkes</w:t>
      </w:r>
      <w:r w:rsidRPr="001C5D05">
        <w:t xml:space="preserve"> 2012); for example, through separating the worthy from</w:t>
      </w:r>
      <w:r w:rsidR="0053176B" w:rsidRPr="001C5D05">
        <w:t xml:space="preserve"> the unworthy (Ayres and Jewkes</w:t>
      </w:r>
      <w:r w:rsidRPr="001C5D05">
        <w:t xml:space="preserve"> 2012). The visual representation of women crim</w:t>
      </w:r>
      <w:r w:rsidR="0053176B" w:rsidRPr="001C5D05">
        <w:t>inals is under-explored (Barlow</w:t>
      </w:r>
      <w:r w:rsidRPr="001C5D05">
        <w:t xml:space="preserve"> 2016), but is essential given the prominence of images of women’s bodies in a range of media, including on Mail Online (Garde-Hansen and Gorto</w:t>
      </w:r>
      <w:r w:rsidR="0053176B" w:rsidRPr="001C5D05">
        <w:t>n</w:t>
      </w:r>
      <w:r w:rsidRPr="001C5D05">
        <w:t xml:space="preserve"> 2013). Harcup and O’Neill (2016) define arresting audio-visuals as significant enough to constitute a contemporary news value in their own right. Mail Online makes strong use of visuals; stories typically feature several large photographs.</w:t>
      </w:r>
    </w:p>
    <w:p w14:paraId="488AE4A4" w14:textId="0A7BD285" w:rsidR="00641A5A" w:rsidRPr="001C5D05" w:rsidRDefault="09837E33" w:rsidP="00715D62">
      <w:pPr>
        <w:spacing w:line="480" w:lineRule="auto"/>
        <w:ind w:firstLine="720"/>
      </w:pPr>
      <w:r w:rsidRPr="001C5D05">
        <w:t>What follows is a framing analysis</w:t>
      </w:r>
      <w:r w:rsidR="00D30D7B" w:rsidRPr="001C5D05">
        <w:t>, paying attention to both text and images,</w:t>
      </w:r>
      <w:r w:rsidRPr="001C5D05">
        <w:t xml:space="preserve"> of Lindsay Sandiford’s case </w:t>
      </w:r>
      <w:r w:rsidR="00D30D7B" w:rsidRPr="001C5D05">
        <w:t>o</w:t>
      </w:r>
      <w:r w:rsidRPr="001C5D05">
        <w:t xml:space="preserve">n Mail Online from </w:t>
      </w:r>
      <w:r w:rsidR="00613BC3" w:rsidRPr="001C5D05">
        <w:t>her</w:t>
      </w:r>
      <w:r w:rsidRPr="001C5D05">
        <w:t xml:space="preserve"> arrest in May 2012 to September 2016.</w:t>
      </w:r>
      <w:r w:rsidR="000866B8" w:rsidRPr="001C5D05">
        <w:rPr>
          <w:rStyle w:val="EndnoteReference"/>
        </w:rPr>
        <w:endnoteReference w:id="11"/>
      </w:r>
      <w:r w:rsidRPr="001C5D05">
        <w:t xml:space="preserve"> Articles were found </w:t>
      </w:r>
      <w:r w:rsidR="000866B8" w:rsidRPr="001C5D05">
        <w:t>by</w:t>
      </w:r>
      <w:r w:rsidRPr="001C5D05">
        <w:t xml:space="preserve"> searching the website fo</w:t>
      </w:r>
      <w:r w:rsidR="000866B8" w:rsidRPr="001C5D05">
        <w:t>r mentions of Lindsay Sandiford.</w:t>
      </w:r>
      <w:r w:rsidRPr="001C5D05">
        <w:t xml:space="preserve"> Those only mention</w:t>
      </w:r>
      <w:r w:rsidR="009C0B71" w:rsidRPr="001C5D05">
        <w:t>ing</w:t>
      </w:r>
      <w:r w:rsidRPr="001C5D05">
        <w:t xml:space="preserve"> her </w:t>
      </w:r>
      <w:r w:rsidR="00B337C3" w:rsidRPr="001C5D05">
        <w:t xml:space="preserve">briefly or </w:t>
      </w:r>
      <w:r w:rsidRPr="001C5D05">
        <w:t xml:space="preserve">in passing were discounted, leaving 62 articles </w:t>
      </w:r>
      <w:r w:rsidR="000866B8" w:rsidRPr="001C5D05">
        <w:t xml:space="preserve">that </w:t>
      </w:r>
      <w:r w:rsidRPr="001C5D05">
        <w:t>form the basis of the analysis. Three dominant frames were identified inductively from paying close attention to the text and visuals, and</w:t>
      </w:r>
      <w:r w:rsidR="000866B8" w:rsidRPr="001C5D05">
        <w:t xml:space="preserve"> the relationship between them: </w:t>
      </w:r>
      <w:r w:rsidRPr="001C5D05">
        <w:t>grandmother/mother, unfairness, and human rights. The frames overlap and interrelate with one another, but do represent different elements of the story.</w:t>
      </w:r>
      <w:r w:rsidR="00B337C3" w:rsidRPr="001C5D05">
        <w:t xml:space="preserve"> They illustrate the </w:t>
      </w:r>
      <w:r w:rsidR="00B337C3" w:rsidRPr="001C5D05">
        <w:lastRenderedPageBreak/>
        <w:t>gendered framing of Sandiford, but also other aspects of the construction of her story which were not solely related to her gender identity.</w:t>
      </w:r>
      <w:r w:rsidRPr="001C5D05">
        <w:t xml:space="preserve"> Individual articles contained at least two, and often all three, of the frames.</w:t>
      </w:r>
    </w:p>
    <w:p w14:paraId="1372338F" w14:textId="77777777" w:rsidR="00C45CC5" w:rsidRPr="001C5D05" w:rsidRDefault="00C45CC5" w:rsidP="00715D62">
      <w:pPr>
        <w:spacing w:line="480" w:lineRule="auto"/>
        <w:ind w:firstLine="720"/>
      </w:pPr>
    </w:p>
    <w:p w14:paraId="1F30AF78" w14:textId="77777777" w:rsidR="00641A5A" w:rsidRPr="001C5D05" w:rsidRDefault="505B4C81" w:rsidP="10935CA8">
      <w:pPr>
        <w:spacing w:line="480" w:lineRule="auto"/>
        <w:rPr>
          <w:b/>
          <w:bCs/>
        </w:rPr>
      </w:pPr>
      <w:r w:rsidRPr="001C5D05">
        <w:rPr>
          <w:b/>
          <w:bCs/>
        </w:rPr>
        <w:t>Grandmother/mother frame</w:t>
      </w:r>
    </w:p>
    <w:p w14:paraId="29C8631D" w14:textId="1C622504" w:rsidR="00641A5A" w:rsidRPr="001C5D05" w:rsidRDefault="10935CA8" w:rsidP="00715D62">
      <w:pPr>
        <w:spacing w:line="480" w:lineRule="auto"/>
        <w:ind w:firstLine="720"/>
      </w:pPr>
      <w:r w:rsidRPr="001C5D05">
        <w:t>The significance of Sandiford’s gender was established through this frame. Media framing is gendered; there are ‘different framing patterns in the n</w:t>
      </w:r>
      <w:r w:rsidR="0053176B" w:rsidRPr="001C5D05">
        <w:t>ews about women and men’ (Nacos 2005</w:t>
      </w:r>
      <w:r w:rsidRPr="001C5D05">
        <w:t xml:space="preserve"> </w:t>
      </w:r>
      <w:r w:rsidR="0053176B" w:rsidRPr="001C5D05">
        <w:t>p.</w:t>
      </w:r>
      <w:r w:rsidRPr="001C5D05">
        <w:t>437). Frames reinforce and perpetuate gendered stereotypes, particularly in relation to femininity. Sandiford was repeatedly identified with family connections such as ‘housewife’, ‘mother’ and predominantly ‘grandmother’. This situated her in relation to her family but also underlined the novelty of her case. In contrast with the more supportive tone of the articles themselves, headlines described her as ‘Drug-Smuggling British Granny’, ‘Firing squad granny’ and ‘Cocaine gran’, enhancing their ‘clickability’ and ‘shareabililty’ on social media. The word most commonly paired in the articles with grandmother was ‘British’, demonstrating the importance of nationality. Despite its global reach, Mail Online is characterised by identification with Britishness and describing Sandiford as ‘the Briton’ (P</w:t>
      </w:r>
      <w:r w:rsidR="00786752" w:rsidRPr="001C5D05">
        <w:t>a</w:t>
      </w:r>
      <w:r w:rsidR="0053176B" w:rsidRPr="001C5D05">
        <w:t>rry</w:t>
      </w:r>
      <w:r w:rsidRPr="001C5D05">
        <w:t xml:space="preserve"> 2013</w:t>
      </w:r>
      <w:r w:rsidR="00786752" w:rsidRPr="001C5D05">
        <w:t>b</w:t>
      </w:r>
      <w:r w:rsidRPr="001C5D05">
        <w:t>) included her in the British imagined national community. Imagined communities are constructed and reproduced symbolically and discursively, for example</w:t>
      </w:r>
      <w:r w:rsidR="0053176B" w:rsidRPr="001C5D05">
        <w:t xml:space="preserve"> through news stories (Anderson</w:t>
      </w:r>
      <w:r w:rsidRPr="001C5D05">
        <w:t xml:space="preserve"> 1983). </w:t>
      </w:r>
    </w:p>
    <w:p w14:paraId="1600BF60" w14:textId="13DF76D2" w:rsidR="00723349" w:rsidRPr="001C5D05" w:rsidRDefault="10935CA8" w:rsidP="00715D62">
      <w:pPr>
        <w:spacing w:line="480" w:lineRule="auto"/>
        <w:ind w:firstLine="720"/>
      </w:pPr>
      <w:r w:rsidRPr="001C5D05">
        <w:t>Sandiford’s death sentence caused an early shift in her gendered framing. Initial news reports detailed how she ‘rented a £275,000 property in C</w:t>
      </w:r>
      <w:r w:rsidR="0053176B" w:rsidRPr="001C5D05">
        <w:t>heltenham’ (Shears and Reynolds</w:t>
      </w:r>
      <w:r w:rsidRPr="001C5D05">
        <w:t xml:space="preserve"> 2012), was ‘a former lega</w:t>
      </w:r>
      <w:r w:rsidR="0053176B" w:rsidRPr="001C5D05">
        <w:t>l secretary’ (Martin and Shears</w:t>
      </w:r>
      <w:r w:rsidRPr="001C5D05">
        <w:t xml:space="preserve"> 2012) and ‘to many, she was [a] respectable middle class mother’. However, she was also described as ‘a neighbour from hell’ (</w:t>
      </w:r>
      <w:r w:rsidR="0053176B" w:rsidRPr="001C5D05">
        <w:t>Shears and Reynolds</w:t>
      </w:r>
      <w:r w:rsidR="00B61EE8" w:rsidRPr="001C5D05">
        <w:t xml:space="preserve"> 2012</w:t>
      </w:r>
      <w:r w:rsidRPr="001C5D05">
        <w:t xml:space="preserve">), who ran up debts and came to the </w:t>
      </w:r>
      <w:r w:rsidRPr="001C5D05">
        <w:lastRenderedPageBreak/>
        <w:t xml:space="preserve">attention of the police. These articles framed Sandiford as disreputable, despite being from an aspirational, middle class, Middle England background. Early reports suggested she had squandered her life chances and made bad choices – in other words, </w:t>
      </w:r>
      <w:r w:rsidR="002302B0" w:rsidRPr="001C5D05">
        <w:t>was</w:t>
      </w:r>
      <w:r w:rsidRPr="001C5D05">
        <w:t xml:space="preserve"> culpable for her plight. At this early stage, coverage employed the insider/outsider binary frequently used to </w:t>
      </w:r>
      <w:r w:rsidR="0053176B" w:rsidRPr="001C5D05">
        <w:t>depict drug traffickers (Taylor</w:t>
      </w:r>
      <w:r w:rsidRPr="001C5D05">
        <w:t xml:space="preserve"> 2008), with Sandiford represented as a disreputable ‘outsider’ in her middle class community. </w:t>
      </w:r>
      <w:r w:rsidR="00641A5A" w:rsidRPr="001C5D05">
        <w:t xml:space="preserve">As the prosecutor </w:t>
      </w:r>
      <w:r w:rsidR="00541EA2" w:rsidRPr="001C5D05">
        <w:t xml:space="preserve">initially </w:t>
      </w:r>
      <w:r w:rsidR="00FF4767" w:rsidRPr="001C5D05">
        <w:t>requested a 15-year sentence</w:t>
      </w:r>
      <w:r w:rsidR="00641A5A" w:rsidRPr="001C5D05">
        <w:t>, it appea</w:t>
      </w:r>
      <w:r w:rsidR="0053206F" w:rsidRPr="001C5D05">
        <w:t>red that Sandiford had evaded execution</w:t>
      </w:r>
      <w:r w:rsidR="00AE05AC" w:rsidRPr="001C5D05">
        <w:t>.</w:t>
      </w:r>
      <w:r w:rsidR="00641A5A" w:rsidRPr="001C5D05">
        <w:t xml:space="preserve"> </w:t>
      </w:r>
      <w:r w:rsidR="00AE05AC" w:rsidRPr="001C5D05">
        <w:t>The</w:t>
      </w:r>
      <w:r w:rsidR="00641A5A" w:rsidRPr="001C5D05">
        <w:t xml:space="preserve"> subsequent, unexpected death sentence in January 2013 was a turning point; portrayals of Sandiford as disreputable disappeared from reporting.</w:t>
      </w:r>
    </w:p>
    <w:p w14:paraId="35BA7F1F" w14:textId="5E125A53" w:rsidR="00FF4767" w:rsidRPr="001C5D05" w:rsidRDefault="10935CA8" w:rsidP="00715D62">
      <w:pPr>
        <w:spacing w:line="480" w:lineRule="auto"/>
        <w:ind w:firstLine="720"/>
      </w:pPr>
      <w:r w:rsidRPr="001C5D05">
        <w:t>Mail Online mobilised tropes of grand-motherhood and domesticity, enhancing Sandiford's sympathetic portrayal. She was described as ‘knitting jumpers for famil</w:t>
      </w:r>
      <w:r w:rsidR="0053176B" w:rsidRPr="001C5D05">
        <w:t>y and friends back home’ (Parry</w:t>
      </w:r>
      <w:r w:rsidRPr="001C5D05">
        <w:t xml:space="preserve"> 2013d), and making ‘a Christening blanket for her grand</w:t>
      </w:r>
      <w:r w:rsidR="0053176B" w:rsidRPr="001C5D05">
        <w:t>daughter’ (Parry</w:t>
      </w:r>
      <w:r w:rsidRPr="001C5D05">
        <w:t xml:space="preserve"> 2016). A photograph of her knitting was frequently used in articles and, unlike many photos of her in court or prison, she looks at the camera enabling a connection with readers. Sandiford knitting visually highlights the stark contrast between her incarceration in an Indonesian prison and the cosiness and safety of home, particularly associated with grandmothers.</w:t>
      </w:r>
    </w:p>
    <w:p w14:paraId="4EAB9969" w14:textId="5303E01F" w:rsidR="00723349" w:rsidRPr="001C5D05" w:rsidRDefault="10935CA8" w:rsidP="00715D62">
      <w:pPr>
        <w:spacing w:line="480" w:lineRule="auto"/>
        <w:ind w:firstLine="720"/>
      </w:pPr>
      <w:r w:rsidRPr="001C5D05">
        <w:t xml:space="preserve">By offering a sympathetic portrayal of Sandiford, coverage invited readers to empathise with her. </w:t>
      </w:r>
      <w:r w:rsidR="00FF651A" w:rsidRPr="001C5D05">
        <w:t xml:space="preserve">Seal </w:t>
      </w:r>
      <w:r w:rsidRPr="001C5D05">
        <w:t xml:space="preserve">(2014) emphasises the significance of capital punishment as an emotional issue in the mid twentieth-century British press, which portrayed it as subject to collective sentiment. Empathy is dependent on Sandiford being ‘one of us’. Framing her in terms of family connections and grandmotherhood made her worthy of pity, but also made her recognisable. This was also achieved by accentuating her remorse. Most photographs of Sandiford construct her as both sorrowful and sorry. Many show her looking down, with her head in her hands or with her face or head </w:t>
      </w:r>
      <w:r w:rsidRPr="001C5D05">
        <w:lastRenderedPageBreak/>
        <w:t xml:space="preserve">covered by a scarf. Some of these shots no doubt resulted from Sandiford’s attempts to avoid the cameras but their visual effect was to show her as repentant. </w:t>
      </w:r>
    </w:p>
    <w:p w14:paraId="2829201F" w14:textId="30EA7662" w:rsidR="006C16DA" w:rsidRPr="001C5D05" w:rsidRDefault="00061138" w:rsidP="00A428B9">
      <w:pPr>
        <w:spacing w:line="480" w:lineRule="auto"/>
        <w:ind w:firstLine="720"/>
      </w:pPr>
      <w:r w:rsidRPr="001C5D05">
        <w:t>Sandiford's</w:t>
      </w:r>
      <w:r w:rsidR="09837E33" w:rsidRPr="001C5D05">
        <w:t xml:space="preserve"> willingness to ‘take responsibility’</w:t>
      </w:r>
      <w:r w:rsidRPr="001C5D05">
        <w:t xml:space="preserve"> was another element of her recuperation into gender norms</w:t>
      </w:r>
      <w:r w:rsidR="09837E33" w:rsidRPr="001C5D05">
        <w:t>. S</w:t>
      </w:r>
      <w:r w:rsidRPr="001C5D05">
        <w:t xml:space="preserve">he </w:t>
      </w:r>
      <w:r w:rsidR="09837E33" w:rsidRPr="001C5D05">
        <w:t>stat</w:t>
      </w:r>
      <w:r w:rsidRPr="001C5D05">
        <w:t>ed,</w:t>
      </w:r>
      <w:r w:rsidR="09837E33" w:rsidRPr="001C5D05">
        <w:t xml:space="preserve"> ‘What I did was wrong and I should be punished for it’, while </w:t>
      </w:r>
      <w:r w:rsidR="000C3E1A" w:rsidRPr="001C5D05">
        <w:t>noting her</w:t>
      </w:r>
      <w:r w:rsidR="09837E33" w:rsidRPr="001C5D05">
        <w:t xml:space="preserve"> co-operat</w:t>
      </w:r>
      <w:r w:rsidR="000C3E1A" w:rsidRPr="001C5D05">
        <w:t>ion</w:t>
      </w:r>
      <w:r w:rsidR="09837E33" w:rsidRPr="001C5D05">
        <w:t xml:space="preserve"> with the police (Parry, 2013</w:t>
      </w:r>
      <w:r w:rsidR="000C3E1A" w:rsidRPr="001C5D05">
        <w:t>d). In an article,</w:t>
      </w:r>
      <w:r w:rsidR="00E142B0" w:rsidRPr="001C5D05">
        <w:t xml:space="preserve"> Sandiford </w:t>
      </w:r>
      <w:r w:rsidR="000C3E1A" w:rsidRPr="001C5D05">
        <w:t>describes</w:t>
      </w:r>
      <w:r w:rsidR="09837E33" w:rsidRPr="001C5D05">
        <w:t xml:space="preserve"> having ‘committed a heinous crime’ but also underlined her hardworking respectability when she lived in Britain, explaining ‘I always worked and I always paid my taxes. When my eldest boy was bor</w:t>
      </w:r>
      <w:r w:rsidR="00A428B9" w:rsidRPr="001C5D05">
        <w:t>n I had just two weeks off work</w:t>
      </w:r>
      <w:r w:rsidR="09837E33" w:rsidRPr="001C5D05">
        <w:t>’</w:t>
      </w:r>
      <w:r w:rsidR="0053176B" w:rsidRPr="001C5D05">
        <w:t xml:space="preserve"> (Sandiford</w:t>
      </w:r>
      <w:r w:rsidR="00A428B9" w:rsidRPr="001C5D05">
        <w:t xml:space="preserve"> 2015).</w:t>
      </w:r>
      <w:r w:rsidR="00E74AC1" w:rsidRPr="001C5D05">
        <w:t xml:space="preserve"> </w:t>
      </w:r>
      <w:r w:rsidR="00A428B9" w:rsidRPr="001C5D05">
        <w:t xml:space="preserve">She sought to instantiate herself as a moral agent worthy of help. </w:t>
      </w:r>
      <w:r w:rsidR="000E0505" w:rsidRPr="001C5D05">
        <w:t>Nevertheless, h</w:t>
      </w:r>
      <w:r w:rsidR="0091462E" w:rsidRPr="001C5D05">
        <w:t xml:space="preserve">er </w:t>
      </w:r>
      <w:r w:rsidR="00E74AC1" w:rsidRPr="001C5D05">
        <w:t>appeal to the UK gov</w:t>
      </w:r>
      <w:r w:rsidR="00A428B9" w:rsidRPr="001C5D05">
        <w:t>ernment to fund her legal costs</w:t>
      </w:r>
      <w:r w:rsidR="0091462E" w:rsidRPr="001C5D05">
        <w:t xml:space="preserve"> </w:t>
      </w:r>
      <w:r w:rsidR="00E74AC1" w:rsidRPr="001C5D05">
        <w:t>was refused. As a foreigner</w:t>
      </w:r>
      <w:r w:rsidR="0091462E" w:rsidRPr="001C5D05">
        <w:t xml:space="preserve"> in Indonesia</w:t>
      </w:r>
      <w:r w:rsidR="00E74AC1" w:rsidRPr="001C5D05">
        <w:t xml:space="preserve"> she was not entitled to legal representation</w:t>
      </w:r>
      <w:r w:rsidR="000E0505" w:rsidRPr="001C5D05">
        <w:t>;</w:t>
      </w:r>
      <w:r w:rsidR="10935CA8" w:rsidRPr="001C5D05">
        <w:t xml:space="preserve"> </w:t>
      </w:r>
      <w:r w:rsidR="00E74AC1" w:rsidRPr="001C5D05">
        <w:t xml:space="preserve">Reprieve reported numerous problems with her initial trial, including errors made by the translator (a student with inadequate English). Her self-portrayal as a hard worker who had contributed to the UK (and could therefore be entitled to its protection) </w:t>
      </w:r>
      <w:r w:rsidRPr="001C5D05">
        <w:t>was</w:t>
      </w:r>
      <w:r w:rsidR="00E74AC1" w:rsidRPr="001C5D05">
        <w:t xml:space="preserve"> not merely discursive but ha</w:t>
      </w:r>
      <w:r w:rsidRPr="001C5D05">
        <w:t>d</w:t>
      </w:r>
      <w:r w:rsidR="00E74AC1" w:rsidRPr="001C5D05">
        <w:t xml:space="preserve"> real-life consequences.</w:t>
      </w:r>
      <w:r w:rsidR="09837E33" w:rsidRPr="001C5D05">
        <w:t xml:space="preserve"> </w:t>
      </w:r>
      <w:r w:rsidR="00E74AC1" w:rsidRPr="001C5D05">
        <w:t>In 2013, 390 people (mostly British) donated £10,903 to fund her legal appeal in Indonesi</w:t>
      </w:r>
      <w:r w:rsidR="00C93B11" w:rsidRPr="001C5D05">
        <w:t>a.</w:t>
      </w:r>
      <w:r w:rsidR="006F4D62" w:rsidRPr="001C5D05">
        <w:rPr>
          <w:rStyle w:val="EndnoteReference"/>
        </w:rPr>
        <w:endnoteReference w:id="12"/>
      </w:r>
      <w:r w:rsidR="006F4D62" w:rsidRPr="001C5D05">
        <w:t xml:space="preserve"> </w:t>
      </w:r>
    </w:p>
    <w:p w14:paraId="09FB6A15" w14:textId="1106638D" w:rsidR="00416996" w:rsidRPr="001C5D05" w:rsidRDefault="09837E33" w:rsidP="00416996">
      <w:pPr>
        <w:spacing w:line="480" w:lineRule="auto"/>
        <w:ind w:firstLine="720"/>
      </w:pPr>
      <w:r w:rsidRPr="001C5D05">
        <w:t xml:space="preserve">Remorse and taking responsibility were </w:t>
      </w:r>
      <w:r w:rsidR="00663A81" w:rsidRPr="001C5D05">
        <w:t>important</w:t>
      </w:r>
      <w:r w:rsidRPr="001C5D05">
        <w:t xml:space="preserve">, but the main </w:t>
      </w:r>
      <w:r w:rsidR="00663A81" w:rsidRPr="001C5D05">
        <w:t>explanation</w:t>
      </w:r>
      <w:r w:rsidR="000E0505" w:rsidRPr="001C5D05">
        <w:t xml:space="preserve"> mobilised by Mail Online</w:t>
      </w:r>
      <w:r w:rsidR="00663A81" w:rsidRPr="001C5D05">
        <w:t xml:space="preserve"> for</w:t>
      </w:r>
      <w:r w:rsidRPr="001C5D05">
        <w:t xml:space="preserve"> </w:t>
      </w:r>
      <w:r w:rsidR="00A428B9" w:rsidRPr="001C5D05">
        <w:t>Sandiford’s</w:t>
      </w:r>
      <w:r w:rsidRPr="001C5D05">
        <w:t xml:space="preserve"> actions was coercion. This is a stock narrative in news stories to explain women’s co-offending with men and to account for the actions of female drug mules</w:t>
      </w:r>
      <w:r w:rsidR="0053176B" w:rsidRPr="001C5D05">
        <w:t xml:space="preserve"> (Fleetwood 2014; Barlow</w:t>
      </w:r>
      <w:r w:rsidR="00A428B9" w:rsidRPr="001C5D05">
        <w:t xml:space="preserve"> 2015)</w:t>
      </w:r>
      <w:r w:rsidRPr="001C5D05">
        <w:t xml:space="preserve">. Either they have been tricked into transporting drugs, or threatened with dire consequences if they refuse. This </w:t>
      </w:r>
      <w:r w:rsidR="00B45F3A" w:rsidRPr="001C5D05">
        <w:t>well-</w:t>
      </w:r>
      <w:r w:rsidR="00663A81" w:rsidRPr="001C5D05">
        <w:t>established discourse framed</w:t>
      </w:r>
      <w:r w:rsidRPr="001C5D05">
        <w:t xml:space="preserve"> Sandiford </w:t>
      </w:r>
      <w:r w:rsidR="00663A81" w:rsidRPr="001C5D05">
        <w:t>as</w:t>
      </w:r>
      <w:r w:rsidRPr="001C5D05">
        <w:t xml:space="preserve"> not a ‘real’ trafficker. </w:t>
      </w:r>
      <w:r w:rsidR="00B45F3A" w:rsidRPr="001C5D05">
        <w:t>She was quoted from her trial as</w:t>
      </w:r>
      <w:r w:rsidRPr="001C5D05">
        <w:t xml:space="preserve"> </w:t>
      </w:r>
      <w:r w:rsidR="00663A81" w:rsidRPr="001C5D05">
        <w:t>stating:</w:t>
      </w:r>
      <w:r w:rsidRPr="001C5D05">
        <w:t xml:space="preserve"> ‘I would never have become involved in something li</w:t>
      </w:r>
      <w:r w:rsidR="00B45F3A" w:rsidRPr="001C5D05">
        <w:t>k</w:t>
      </w:r>
      <w:r w:rsidRPr="001C5D05">
        <w:t xml:space="preserve">e this but the lives of my </w:t>
      </w:r>
      <w:r w:rsidR="0053176B" w:rsidRPr="001C5D05">
        <w:t>children were in danger’ (Black</w:t>
      </w:r>
      <w:r w:rsidRPr="001C5D05">
        <w:t xml:space="preserve"> 2013)</w:t>
      </w:r>
      <w:r w:rsidR="00B45F3A" w:rsidRPr="001C5D05">
        <w:t xml:space="preserve"> and the threat to her sons was underlined in other articles</w:t>
      </w:r>
      <w:r w:rsidRPr="001C5D05">
        <w:t xml:space="preserve"> </w:t>
      </w:r>
      <w:r w:rsidR="0053176B" w:rsidRPr="001C5D05">
        <w:t>(Parry</w:t>
      </w:r>
      <w:r w:rsidR="00E142B0" w:rsidRPr="001C5D05">
        <w:t xml:space="preserve"> 2015a</w:t>
      </w:r>
      <w:r w:rsidRPr="001C5D05">
        <w:t xml:space="preserve">). This explanation highlighted a lack of </w:t>
      </w:r>
      <w:r w:rsidRPr="001C5D05">
        <w:lastRenderedPageBreak/>
        <w:t xml:space="preserve">culpability </w:t>
      </w:r>
      <w:r w:rsidR="00B45F3A" w:rsidRPr="001C5D05">
        <w:t>as well as a</w:t>
      </w:r>
      <w:r w:rsidR="0091462E" w:rsidRPr="001C5D05">
        <w:t xml:space="preserve"> selfless</w:t>
      </w:r>
      <w:r w:rsidRPr="001C5D05">
        <w:t xml:space="preserve"> act as a mother to protect her </w:t>
      </w:r>
      <w:r w:rsidR="00167B89" w:rsidRPr="001C5D05">
        <w:t>son</w:t>
      </w:r>
      <w:r w:rsidRPr="001C5D05">
        <w:t xml:space="preserve">, </w:t>
      </w:r>
      <w:r w:rsidR="00663A81" w:rsidRPr="001C5D05">
        <w:t>thereby discursively</w:t>
      </w:r>
      <w:r w:rsidRPr="001C5D05">
        <w:t xml:space="preserve"> recuperat</w:t>
      </w:r>
      <w:r w:rsidR="00663A81" w:rsidRPr="001C5D05">
        <w:t>ing</w:t>
      </w:r>
      <w:r w:rsidRPr="001C5D05">
        <w:t xml:space="preserve"> her into normative femininity. Sandiford (2015) </w:t>
      </w:r>
      <w:r w:rsidR="005904FD" w:rsidRPr="001C5D05">
        <w:t xml:space="preserve">also </w:t>
      </w:r>
      <w:r w:rsidR="0091462E" w:rsidRPr="001C5D05">
        <w:t>frame</w:t>
      </w:r>
      <w:r w:rsidR="00B45F3A" w:rsidRPr="001C5D05">
        <w:t>d</w:t>
      </w:r>
      <w:r w:rsidR="0091462E" w:rsidRPr="001C5D05">
        <w:t xml:space="preserve"> her actions within gender norms</w:t>
      </w:r>
      <w:r w:rsidRPr="001C5D05">
        <w:t xml:space="preserve">, stating ‘When </w:t>
      </w:r>
      <w:r w:rsidR="00663A81" w:rsidRPr="001C5D05">
        <w:t>she [granddaughter]</w:t>
      </w:r>
      <w:r w:rsidRPr="001C5D05">
        <w:t xml:space="preserve"> grows up, I want her to know I wasn’t a bad person. I was coerced into committing this terrible crime and I did it because I thought it was the only way to protect my youngest son, her uncle’.</w:t>
      </w:r>
      <w:r w:rsidR="00AC380B" w:rsidRPr="001C5D05">
        <w:t xml:space="preserve"> </w:t>
      </w:r>
    </w:p>
    <w:p w14:paraId="280A851F" w14:textId="75F89EBF" w:rsidR="00901E13" w:rsidRPr="001C5D05" w:rsidRDefault="683012B4" w:rsidP="00416996">
      <w:pPr>
        <w:spacing w:line="480" w:lineRule="auto"/>
        <w:ind w:firstLine="720"/>
      </w:pPr>
      <w:r w:rsidRPr="001C5D05">
        <w:t xml:space="preserve">Via the coercion narrative, Mail Online aligned Sandiford with the ‘right’ side of the drug war discourse (despite earlier stories </w:t>
      </w:r>
      <w:r w:rsidR="00167B89" w:rsidRPr="001C5D05">
        <w:t>suggesting</w:t>
      </w:r>
      <w:r w:rsidRPr="001C5D05">
        <w:t xml:space="preserve"> she </w:t>
      </w:r>
      <w:r w:rsidR="00167B89" w:rsidRPr="001C5D05">
        <w:t xml:space="preserve">had </w:t>
      </w:r>
      <w:r w:rsidRPr="001C5D05">
        <w:t xml:space="preserve">trafficked marijuana from India to Indonesia). The vulnerability of her son to evil drug traffickers highlighted illegal drugs as dangerous to and corrupting of young people </w:t>
      </w:r>
      <w:r w:rsidR="005904FD" w:rsidRPr="001C5D05">
        <w:t>echoing Nixon’s notion of the drug war</w:t>
      </w:r>
      <w:r w:rsidRPr="001C5D05">
        <w:t xml:space="preserve">. Significantly, the portrayal of Sandiford as a motherly/grandmotherly protector, and the space given to her own explanations, accorded her some agency, transcending the simplistic binaries of female drug mules as </w:t>
      </w:r>
      <w:r w:rsidR="00167B89" w:rsidRPr="001C5D05">
        <w:t>victims or villains</w:t>
      </w:r>
      <w:r w:rsidRPr="001C5D05">
        <w:t xml:space="preserve">. Sandiford’s age </w:t>
      </w:r>
      <w:r w:rsidR="00A428B9" w:rsidRPr="001C5D05">
        <w:t>wa</w:t>
      </w:r>
      <w:r w:rsidR="005904FD" w:rsidRPr="001C5D05">
        <w:t>s</w:t>
      </w:r>
      <w:r w:rsidR="00167B89" w:rsidRPr="001C5D05">
        <w:t xml:space="preserve"> important: a</w:t>
      </w:r>
      <w:r w:rsidRPr="001C5D05">
        <w:t xml:space="preserve">s a woman in her </w:t>
      </w:r>
      <w:r w:rsidR="00A428B9" w:rsidRPr="001C5D05">
        <w:t xml:space="preserve">late </w:t>
      </w:r>
      <w:r w:rsidRPr="001C5D05">
        <w:t>fifties,</w:t>
      </w:r>
      <w:r w:rsidR="000D3D56" w:rsidRPr="001C5D05">
        <w:t xml:space="preserve"> </w:t>
      </w:r>
      <w:r w:rsidR="005904FD" w:rsidRPr="001C5D05">
        <w:t>d</w:t>
      </w:r>
      <w:r w:rsidRPr="001C5D05">
        <w:t xml:space="preserve">iscourses of innocence and naivety were not readily applicable, and nor were portrayals </w:t>
      </w:r>
      <w:r w:rsidR="00A428B9" w:rsidRPr="001C5D05">
        <w:t xml:space="preserve">of </w:t>
      </w:r>
      <w:r w:rsidRPr="001C5D05">
        <w:t xml:space="preserve">imperilled young white womanhood in need of rescue from </w:t>
      </w:r>
      <w:r w:rsidR="0053176B" w:rsidRPr="001C5D05">
        <w:t>non-white ‘others’ (see Lambert 2008; Middleweek</w:t>
      </w:r>
      <w:r w:rsidRPr="001C5D05">
        <w:t xml:space="preserve"> 2016).</w:t>
      </w:r>
      <w:r w:rsidR="005904FD" w:rsidRPr="001C5D05">
        <w:t xml:space="preserve"> The representation of Sandiford’s case contrasts with that of young, white, Western women, such as Schappelle Corby</w:t>
      </w:r>
      <w:r w:rsidR="000D3D56" w:rsidRPr="001C5D05">
        <w:t>.</w:t>
      </w:r>
    </w:p>
    <w:p w14:paraId="36A1CDEE" w14:textId="77777777" w:rsidR="0089549D" w:rsidRPr="001C5D05" w:rsidRDefault="0089549D" w:rsidP="00715D62">
      <w:pPr>
        <w:spacing w:line="480" w:lineRule="auto"/>
      </w:pPr>
    </w:p>
    <w:p w14:paraId="7865EADD" w14:textId="77777777" w:rsidR="00641A5A" w:rsidRPr="001C5D05" w:rsidRDefault="10935CA8" w:rsidP="10935CA8">
      <w:pPr>
        <w:spacing w:line="480" w:lineRule="auto"/>
        <w:rPr>
          <w:b/>
          <w:bCs/>
        </w:rPr>
      </w:pPr>
      <w:r w:rsidRPr="001C5D05">
        <w:rPr>
          <w:b/>
          <w:bCs/>
        </w:rPr>
        <w:t>Unfairness frame</w:t>
      </w:r>
    </w:p>
    <w:p w14:paraId="78F02475" w14:textId="68996655" w:rsidR="6D4D2B01" w:rsidRPr="001C5D05" w:rsidRDefault="683012B4" w:rsidP="00FF2B08">
      <w:pPr>
        <w:spacing w:line="480" w:lineRule="auto"/>
        <w:ind w:firstLine="720"/>
      </w:pPr>
      <w:r w:rsidRPr="001C5D05">
        <w:t xml:space="preserve">The sympathetic framing of Sandiford was counter-balanced by the vilification of two of Sandiford's co-accused </w:t>
      </w:r>
      <w:r w:rsidR="002B0394" w:rsidRPr="001C5D05">
        <w:t xml:space="preserve">(Julian Ponder and Rachel Dougall) </w:t>
      </w:r>
      <w:r w:rsidRPr="001C5D05">
        <w:t xml:space="preserve">whom </w:t>
      </w:r>
      <w:r w:rsidR="002B0394" w:rsidRPr="001C5D05">
        <w:t xml:space="preserve">Sandiford </w:t>
      </w:r>
      <w:r w:rsidRPr="001C5D05">
        <w:t>helped to convict. Ponder received a six year prison sentence and his former partner, Rachel, only a year</w:t>
      </w:r>
      <w:r w:rsidR="00A1796F" w:rsidRPr="001C5D05">
        <w:t>. Paul Beales, also involved, was sentenced to four years.</w:t>
      </w:r>
      <w:r w:rsidRPr="001C5D05">
        <w:t xml:space="preserve"> Simply </w:t>
      </w:r>
      <w:r w:rsidR="000E0505" w:rsidRPr="001C5D05">
        <w:t xml:space="preserve">by </w:t>
      </w:r>
      <w:r w:rsidRPr="001C5D05">
        <w:t>drawing this contrast between Sandiford's death sentence and the sentences of the others</w:t>
      </w:r>
      <w:r w:rsidR="00A428B9" w:rsidRPr="001C5D05">
        <w:t>, Mail Online</w:t>
      </w:r>
      <w:r w:rsidRPr="001C5D05">
        <w:t xml:space="preserve"> established the unfairness of her treatment. A headline from January </w:t>
      </w:r>
      <w:r w:rsidRPr="001C5D05">
        <w:lastRenderedPageBreak/>
        <w:t>2013 a</w:t>
      </w:r>
      <w:r w:rsidR="0053176B" w:rsidRPr="001C5D05">
        <w:t>sked 'Is that justice?' (Shears</w:t>
      </w:r>
      <w:r w:rsidRPr="001C5D05">
        <w:t xml:space="preserve"> 2013</w:t>
      </w:r>
      <w:r w:rsidR="00E142B0" w:rsidRPr="001C5D05">
        <w:t>a</w:t>
      </w:r>
      <w:r w:rsidRPr="001C5D05">
        <w:t>)</w:t>
      </w:r>
      <w:r w:rsidR="002B0394" w:rsidRPr="001C5D05">
        <w:t xml:space="preserve">. </w:t>
      </w:r>
      <w:r w:rsidR="00716EB5" w:rsidRPr="001C5D05">
        <w:t xml:space="preserve">This disparity </w:t>
      </w:r>
      <w:r w:rsidRPr="001C5D05">
        <w:t>was directly mentioned in seven articles, with others highlighting the release of Dougall and Beales, and the comparatively lenient treatment of Ponder in prison.</w:t>
      </w:r>
    </w:p>
    <w:p w14:paraId="2FB3863B" w14:textId="3CEF5C10" w:rsidR="6D4D2B01" w:rsidRPr="001C5D05" w:rsidRDefault="505B4C81" w:rsidP="00715D62">
      <w:pPr>
        <w:spacing w:line="480" w:lineRule="auto"/>
        <w:ind w:firstLine="720"/>
      </w:pPr>
      <w:r w:rsidRPr="001C5D05">
        <w:t>Stories descr</w:t>
      </w:r>
      <w:r w:rsidR="0053176B" w:rsidRPr="001C5D05">
        <w:t>ibed Ponder as 'Mr Big' (Parry</w:t>
      </w:r>
      <w:r w:rsidRPr="001C5D05">
        <w:t xml:space="preserve"> 2013</w:t>
      </w:r>
      <w:r w:rsidR="00E142B0" w:rsidRPr="001C5D05">
        <w:t>a; 2015b</w:t>
      </w:r>
      <w:r w:rsidRPr="001C5D05">
        <w:t>) and the 'mastermind' and 'ringleader' of the d</w:t>
      </w:r>
      <w:r w:rsidR="0053176B" w:rsidRPr="001C5D05">
        <w:t>rug smuggling syndicate (Shears</w:t>
      </w:r>
      <w:r w:rsidRPr="001C5D05">
        <w:t xml:space="preserve"> 2013</w:t>
      </w:r>
      <w:r w:rsidR="00E142B0" w:rsidRPr="001C5D05">
        <w:t>a</w:t>
      </w:r>
      <w:r w:rsidR="0053176B" w:rsidRPr="001C5D05">
        <w:t xml:space="preserve">; Parry </w:t>
      </w:r>
      <w:r w:rsidRPr="001C5D05">
        <w:t>2015b), activating stereotypes of the exploitative 'drug lord'. Ponder was portrayed as a villain; he was described as a 'cocksure' and 'brash' individual who 'bragged he would no</w:t>
      </w:r>
      <w:r w:rsidR="0053176B" w:rsidRPr="001C5D05">
        <w:t>t be sentenced to death' (Parry</w:t>
      </w:r>
      <w:r w:rsidRPr="001C5D05">
        <w:t xml:space="preserve"> 2013</w:t>
      </w:r>
      <w:r w:rsidR="00E142B0" w:rsidRPr="001C5D05">
        <w:t>a</w:t>
      </w:r>
      <w:r w:rsidR="0053176B" w:rsidRPr="001C5D05">
        <w:t>; Shears</w:t>
      </w:r>
      <w:r w:rsidRPr="001C5D05">
        <w:t xml:space="preserve"> 2013</w:t>
      </w:r>
      <w:r w:rsidR="00E142B0" w:rsidRPr="001C5D05">
        <w:t>a</w:t>
      </w:r>
      <w:r w:rsidRPr="001C5D05">
        <w:t>). Ponder</w:t>
      </w:r>
      <w:r w:rsidR="007572BD" w:rsidRPr="001C5D05">
        <w:t>,</w:t>
      </w:r>
      <w:r w:rsidRPr="001C5D05">
        <w:t xml:space="preserve"> as 'mastermind'</w:t>
      </w:r>
      <w:r w:rsidR="007572BD" w:rsidRPr="001C5D05">
        <w:t>,</w:t>
      </w:r>
      <w:r w:rsidRPr="001C5D05">
        <w:t xml:space="preserve"> was consistent with well-established gendered stereotypes of male traffickers as the 'brains' of drug smuggling, while women are the</w:t>
      </w:r>
      <w:r w:rsidR="002B0394" w:rsidRPr="001C5D05">
        <w:t xml:space="preserve"> exploited</w:t>
      </w:r>
      <w:r w:rsidRPr="001C5D05">
        <w:t xml:space="preserve"> 'bodies'</w:t>
      </w:r>
      <w:r w:rsidR="0053176B" w:rsidRPr="001C5D05">
        <w:t xml:space="preserve"> (Fleetwood</w:t>
      </w:r>
      <w:r w:rsidR="00416996" w:rsidRPr="001C5D05">
        <w:t xml:space="preserve"> 2014</w:t>
      </w:r>
      <w:r w:rsidR="00A428B9" w:rsidRPr="001C5D05">
        <w:t>)</w:t>
      </w:r>
      <w:r w:rsidRPr="001C5D05">
        <w:t xml:space="preserve">. These gendered understandings of drug smuggling were evident, with Ponder as the evil trafficker and Sandiford as his victim – although her portrayal </w:t>
      </w:r>
      <w:r w:rsidR="002B0394" w:rsidRPr="001C5D05">
        <w:t>nonetheless reflected a degree of her</w:t>
      </w:r>
      <w:r w:rsidRPr="001C5D05">
        <w:t xml:space="preserve"> agency. </w:t>
      </w:r>
    </w:p>
    <w:p w14:paraId="1531444D" w14:textId="52A3DD0E" w:rsidR="005D369F" w:rsidRPr="001C5D05" w:rsidRDefault="683012B4" w:rsidP="00715D62">
      <w:pPr>
        <w:spacing w:line="480" w:lineRule="auto"/>
        <w:ind w:firstLine="720"/>
      </w:pPr>
      <w:r w:rsidRPr="001C5D05">
        <w:t xml:space="preserve">Sandiford stated her belief </w:t>
      </w:r>
      <w:r w:rsidR="00256868" w:rsidRPr="001C5D05">
        <w:t xml:space="preserve">in an interview </w:t>
      </w:r>
      <w:r w:rsidRPr="001C5D05">
        <w:t>that the 'reduced charges and light sentences' of her co-accused were secured through bribes but 'because she had no money, she says she never had the chance to pay her way out o</w:t>
      </w:r>
      <w:r w:rsidR="0053176B" w:rsidRPr="001C5D05">
        <w:t>f trouble' (Parry</w:t>
      </w:r>
      <w:r w:rsidRPr="001C5D05">
        <w:t xml:space="preserve"> 2013</w:t>
      </w:r>
      <w:r w:rsidR="00E142B0" w:rsidRPr="001C5D05">
        <w:t>d</w:t>
      </w:r>
      <w:r w:rsidRPr="001C5D05">
        <w:t xml:space="preserve">). </w:t>
      </w:r>
      <w:r w:rsidR="00A428B9" w:rsidRPr="001C5D05">
        <w:t>Stories underlined t</w:t>
      </w:r>
      <w:r w:rsidRPr="001C5D05">
        <w:t xml:space="preserve">he wealth differential between Sandiford and the others. </w:t>
      </w:r>
      <w:r w:rsidR="005D369F" w:rsidRPr="001C5D05">
        <w:t xml:space="preserve">Rachel </w:t>
      </w:r>
      <w:r w:rsidRPr="001C5D05">
        <w:t>Dougall was reported enjoy</w:t>
      </w:r>
      <w:r w:rsidR="005D369F" w:rsidRPr="001C5D05">
        <w:t>ing</w:t>
      </w:r>
      <w:r w:rsidRPr="001C5D05">
        <w:t xml:space="preserve"> 'an afternoon on a boat as Lindsay Sandiford languishes </w:t>
      </w:r>
      <w:r w:rsidR="0053176B" w:rsidRPr="001C5D05">
        <w:t>on death row' (Parry and Creasy</w:t>
      </w:r>
      <w:r w:rsidRPr="001C5D05">
        <w:t xml:space="preserve"> 2013) and Beales 'toast[ed] his freedom on a golfing holiday in Thailand after being r</w:t>
      </w:r>
      <w:r w:rsidR="0053176B" w:rsidRPr="001C5D05">
        <w:t>eleased early from jail' (Parry</w:t>
      </w:r>
      <w:r w:rsidRPr="001C5D05">
        <w:t xml:space="preserve"> 2015</w:t>
      </w:r>
      <w:r w:rsidR="00E142B0" w:rsidRPr="001C5D05">
        <w:t>d</w:t>
      </w:r>
      <w:r w:rsidRPr="001C5D05">
        <w:t>). Despite being imprisoned, Ponder was reported to live the high life while Sandiford suffered the privations of death row:</w:t>
      </w:r>
      <w:r w:rsidR="005D369F" w:rsidRPr="001C5D05">
        <w:t xml:space="preserve"> Mail</w:t>
      </w:r>
      <w:r w:rsidR="002E45E9" w:rsidRPr="001C5D05">
        <w:t xml:space="preserve"> Online</w:t>
      </w:r>
      <w:r w:rsidR="005D369F" w:rsidRPr="001C5D05">
        <w:t xml:space="preserve"> reported that he</w:t>
      </w:r>
      <w:r w:rsidRPr="001C5D05">
        <w:t xml:space="preserve"> 'boasts of enjoying booze and drug fuelled parties behind bars – where he has a personal chef – and a model girlfriend waiting outside to marry </w:t>
      </w:r>
      <w:r w:rsidR="0053176B" w:rsidRPr="001C5D05">
        <w:t>him when he is released' (Parry</w:t>
      </w:r>
      <w:r w:rsidRPr="001C5D05">
        <w:t xml:space="preserve"> 2015</w:t>
      </w:r>
      <w:r w:rsidR="00E142B0" w:rsidRPr="001C5D05">
        <w:t>b</w:t>
      </w:r>
      <w:r w:rsidRPr="001C5D05">
        <w:t>).</w:t>
      </w:r>
      <w:r w:rsidR="005D369F" w:rsidRPr="001C5D05">
        <w:t xml:space="preserve"> </w:t>
      </w:r>
    </w:p>
    <w:p w14:paraId="1E1600A9" w14:textId="67F01FCD" w:rsidR="6D4D2B01" w:rsidRPr="001C5D05" w:rsidRDefault="005D369F" w:rsidP="00715D62">
      <w:pPr>
        <w:spacing w:line="480" w:lineRule="auto"/>
        <w:ind w:firstLine="720"/>
      </w:pPr>
      <w:r w:rsidRPr="001C5D05">
        <w:lastRenderedPageBreak/>
        <w:t>Stark comparisons between Ponder’s riches and Sandiford’s bare existence in prison dr</w:t>
      </w:r>
      <w:r w:rsidR="007527D7" w:rsidRPr="001C5D05">
        <w:t>e</w:t>
      </w:r>
      <w:r w:rsidRPr="001C5D05">
        <w:t>w on drug trade binaries highlighting clearly that the ‘real’ criminal ha</w:t>
      </w:r>
      <w:r w:rsidR="007527D7" w:rsidRPr="001C5D05">
        <w:t>d</w:t>
      </w:r>
      <w:r w:rsidRPr="001C5D05">
        <w:t xml:space="preserve"> not been properly punished. Furthermore, Ponder, Dougall and Beal</w:t>
      </w:r>
      <w:r w:rsidR="002E45E9" w:rsidRPr="001C5D05">
        <w:t>e</w:t>
      </w:r>
      <w:r w:rsidRPr="001C5D05">
        <w:t>s</w:t>
      </w:r>
      <w:r w:rsidR="505B4C81" w:rsidRPr="001C5D05">
        <w:t xml:space="preserve"> were </w:t>
      </w:r>
      <w:r w:rsidRPr="001C5D05">
        <w:t xml:space="preserve">depicted as </w:t>
      </w:r>
      <w:r w:rsidR="505B4C81" w:rsidRPr="001C5D05">
        <w:t xml:space="preserve">disreputable because they had taken the 'easy' route to riches through drug crime and had caused the suffering of others in the process. </w:t>
      </w:r>
      <w:r w:rsidRPr="001C5D05">
        <w:t xml:space="preserve">This was also clear in accompanying photographs showing </w:t>
      </w:r>
      <w:r w:rsidR="00C86925" w:rsidRPr="001C5D05">
        <w:t>Ponder as</w:t>
      </w:r>
      <w:r w:rsidR="505B4C81" w:rsidRPr="001C5D05">
        <w:t xml:space="preserve"> vulgar and flashy. A </w:t>
      </w:r>
      <w:r w:rsidR="005904FD" w:rsidRPr="001C5D05">
        <w:t xml:space="preserve">photo </w:t>
      </w:r>
      <w:r w:rsidR="505B4C81" w:rsidRPr="001C5D05">
        <w:t>of him wearing dark glasses and leaving his prison cell frequently accompanied articles, as did a</w:t>
      </w:r>
      <w:r w:rsidR="005904FD" w:rsidRPr="001C5D05">
        <w:t xml:space="preserve">nother </w:t>
      </w:r>
      <w:r w:rsidR="505B4C81" w:rsidRPr="001C5D05">
        <w:t xml:space="preserve">of him walking without a shirt. </w:t>
      </w:r>
      <w:r w:rsidR="005904FD" w:rsidRPr="001C5D05">
        <w:t>Another</w:t>
      </w:r>
      <w:r w:rsidR="505B4C81" w:rsidRPr="001C5D05">
        <w:t xml:space="preserve"> </w:t>
      </w:r>
      <w:r w:rsidR="00C86925" w:rsidRPr="001C5D05">
        <w:t>depicted</w:t>
      </w:r>
      <w:r w:rsidR="505B4C81" w:rsidRPr="001C5D05">
        <w:t xml:space="preserve"> </w:t>
      </w:r>
      <w:r w:rsidR="005904FD" w:rsidRPr="001C5D05">
        <w:t xml:space="preserve">him </w:t>
      </w:r>
      <w:r w:rsidR="505B4C81" w:rsidRPr="001C5D05">
        <w:t>eating steak and chips, caption</w:t>
      </w:r>
      <w:r w:rsidR="005904FD" w:rsidRPr="001C5D05">
        <w:t>ed</w:t>
      </w:r>
      <w:r w:rsidR="00C86925" w:rsidRPr="001C5D05">
        <w:t xml:space="preserve"> </w:t>
      </w:r>
      <w:r w:rsidR="505B4C81" w:rsidRPr="001C5D05">
        <w:t>that it had been prepared by his chef</w:t>
      </w:r>
      <w:r w:rsidR="0053176B" w:rsidRPr="001C5D05">
        <w:t xml:space="preserve"> (Parry</w:t>
      </w:r>
      <w:r w:rsidR="00EE20C5" w:rsidRPr="001C5D05">
        <w:t xml:space="preserve"> 2015b)</w:t>
      </w:r>
      <w:r w:rsidR="505B4C81" w:rsidRPr="001C5D05">
        <w:t xml:space="preserve">. Visual cues of his excessive lifestyle (even in prison), such as sunglasses and a big cigar, signalled the illicit business discourse associated with drug trafficking. </w:t>
      </w:r>
    </w:p>
    <w:p w14:paraId="4D242032" w14:textId="3B048FF7" w:rsidR="6D4D2B01" w:rsidRPr="001C5D05" w:rsidRDefault="683012B4" w:rsidP="00416996">
      <w:pPr>
        <w:spacing w:line="480" w:lineRule="auto"/>
        <w:ind w:firstLine="720"/>
      </w:pPr>
      <w:r w:rsidRPr="001C5D05">
        <w:t xml:space="preserve">Significantly, many articles </w:t>
      </w:r>
      <w:r w:rsidR="007527D7" w:rsidRPr="001C5D05">
        <w:t>juxtaposed photographs of</w:t>
      </w:r>
      <w:r w:rsidRPr="001C5D05">
        <w:t xml:space="preserve"> Ponder </w:t>
      </w:r>
      <w:r w:rsidR="00C86925" w:rsidRPr="001C5D05">
        <w:t>and</w:t>
      </w:r>
      <w:r w:rsidRPr="001C5D05">
        <w:t xml:space="preserve"> Sandiford</w:t>
      </w:r>
      <w:r w:rsidR="00C86925" w:rsidRPr="001C5D05">
        <w:t xml:space="preserve"> </w:t>
      </w:r>
      <w:r w:rsidR="00716EB5" w:rsidRPr="001C5D05">
        <w:t>emphasising</w:t>
      </w:r>
      <w:r w:rsidR="00C86925" w:rsidRPr="001C5D05">
        <w:t xml:space="preserve"> the</w:t>
      </w:r>
      <w:r w:rsidRPr="001C5D05">
        <w:t xml:space="preserve"> gendered binary of evil male trafficke</w:t>
      </w:r>
      <w:r w:rsidR="00C86925" w:rsidRPr="001C5D05">
        <w:t>r/</w:t>
      </w:r>
      <w:r w:rsidRPr="001C5D05">
        <w:t xml:space="preserve">female victim. Whereas she is frequently shown looking down, emphasising her remorse, Ponder looks straight ahead. Similarly, a picture of Dougall wearing a white shirt and pushing back her hair was used </w:t>
      </w:r>
      <w:r w:rsidR="00C86925" w:rsidRPr="001C5D05">
        <w:t>repeatedly</w:t>
      </w:r>
      <w:r w:rsidRPr="001C5D05">
        <w:t xml:space="preserve">. </w:t>
      </w:r>
      <w:r w:rsidR="00C86925" w:rsidRPr="001C5D05">
        <w:t>Unlike Sandiford,</w:t>
      </w:r>
      <w:r w:rsidRPr="001C5D05">
        <w:t xml:space="preserve"> Dougall is not ashamed, her face is bared for all to see. </w:t>
      </w:r>
      <w:r w:rsidR="007527D7" w:rsidRPr="001C5D05">
        <w:t>Reporting of</w:t>
      </w:r>
      <w:r w:rsidRPr="001C5D05">
        <w:t xml:space="preserve"> her release from prison, which meant that she was reunited with her daughter while Sandiford was 'still in Kerobokan', featured two pictures taken with a long lens of Dougall drinking beer aboard a yacht in Brighton Marina</w:t>
      </w:r>
      <w:r w:rsidR="00E142B0" w:rsidRPr="001C5D05">
        <w:t xml:space="preserve"> (Parry and Creasy, 2013)</w:t>
      </w:r>
      <w:r w:rsidRPr="001C5D05">
        <w:t>. She was a 'glamorous' bad woman in contrast to Sandiford</w:t>
      </w:r>
      <w:r w:rsidR="00716EB5" w:rsidRPr="001C5D05">
        <w:t>,</w:t>
      </w:r>
      <w:r w:rsidRPr="001C5D05">
        <w:t xml:space="preserve"> </w:t>
      </w:r>
      <w:r w:rsidR="0053176B" w:rsidRPr="001C5D05">
        <w:t>the knitting grandmother (Parry</w:t>
      </w:r>
      <w:r w:rsidRPr="001C5D05">
        <w:t xml:space="preserve"> 2013</w:t>
      </w:r>
      <w:r w:rsidR="00B00205" w:rsidRPr="001C5D05">
        <w:t>a</w:t>
      </w:r>
      <w:r w:rsidRPr="001C5D05">
        <w:t>). Dougall, although a woman, was not portrayed as Ponder's victim. Instead, the emphasis on her wealth and ability to escape harsh punishment cast her as an 'emancipated equal'</w:t>
      </w:r>
      <w:r w:rsidR="00C86925" w:rsidRPr="001C5D05">
        <w:t xml:space="preserve">, or ‘queen pin’ in the drug </w:t>
      </w:r>
      <w:r w:rsidR="002E45E9" w:rsidRPr="001C5D05">
        <w:t>t</w:t>
      </w:r>
      <w:r w:rsidR="00C86925" w:rsidRPr="001C5D05">
        <w:t>rade</w:t>
      </w:r>
      <w:r w:rsidRPr="001C5D05">
        <w:t xml:space="preserve"> (</w:t>
      </w:r>
      <w:r w:rsidR="00FA6B02" w:rsidRPr="001C5D05">
        <w:t>Fleetwood</w:t>
      </w:r>
      <w:r w:rsidR="00416996" w:rsidRPr="001C5D05">
        <w:t xml:space="preserve"> 2014</w:t>
      </w:r>
      <w:r w:rsidRPr="001C5D05">
        <w:t xml:space="preserve">). </w:t>
      </w:r>
    </w:p>
    <w:p w14:paraId="7DF3FEF8" w14:textId="46E4A8E6" w:rsidR="6D4D2B01" w:rsidRPr="001C5D05" w:rsidRDefault="10935CA8" w:rsidP="00715D62">
      <w:pPr>
        <w:spacing w:line="480" w:lineRule="auto"/>
        <w:ind w:firstLine="720"/>
      </w:pPr>
      <w:r w:rsidRPr="001C5D05">
        <w:t xml:space="preserve">Gendered stereotypes of drug traffickers were incorporated into the framing of Sandiford's case as unfair, but unfairness is also a powerful, well-established critique of </w:t>
      </w:r>
      <w:r w:rsidRPr="001C5D05">
        <w:lastRenderedPageBreak/>
        <w:t>the death penalty. Concerns that capital punishment was applied unfairly, including in cases with co-defendants, were frequently expressed in press coverage of, and public responses to, capital cases in mid twentieth-century Britain (</w:t>
      </w:r>
      <w:r w:rsidR="00416996" w:rsidRPr="001C5D05">
        <w:t>Fleetwood</w:t>
      </w:r>
      <w:r w:rsidRPr="001C5D05">
        <w:t xml:space="preserve"> 2014). </w:t>
      </w:r>
    </w:p>
    <w:p w14:paraId="14896403" w14:textId="77777777" w:rsidR="0089549D" w:rsidRPr="001C5D05" w:rsidRDefault="0089549D" w:rsidP="00715D62">
      <w:pPr>
        <w:spacing w:line="480" w:lineRule="auto"/>
      </w:pPr>
    </w:p>
    <w:p w14:paraId="75CE7A90" w14:textId="77777777" w:rsidR="00641A5A" w:rsidRPr="001C5D05" w:rsidRDefault="10935CA8" w:rsidP="10935CA8">
      <w:pPr>
        <w:spacing w:line="480" w:lineRule="auto"/>
        <w:rPr>
          <w:b/>
          <w:bCs/>
        </w:rPr>
      </w:pPr>
      <w:r w:rsidRPr="001C5D05">
        <w:rPr>
          <w:b/>
          <w:bCs/>
        </w:rPr>
        <w:t>Human rights frame</w:t>
      </w:r>
    </w:p>
    <w:p w14:paraId="0C9ED5E0" w14:textId="356F02C5" w:rsidR="00470EFA" w:rsidRPr="001C5D05" w:rsidRDefault="10935CA8" w:rsidP="00716EB5">
      <w:pPr>
        <w:spacing w:line="480" w:lineRule="auto"/>
        <w:ind w:firstLine="720"/>
      </w:pPr>
      <w:r w:rsidRPr="001C5D05">
        <w:t>This frame would perhaps not be readily associated with Mail Online, or indeed drug war discourse, but was a prominent element of the reporting of Sandiford’s case. Amnesty International extended the human rights frame to capital punishment when it pledged, in the late 1970s, to work for the global abolition of the death penalty. Abolition subsequently became established as part of international</w:t>
      </w:r>
      <w:r w:rsidR="0053176B" w:rsidRPr="001C5D05">
        <w:t xml:space="preserve"> human rights standards (Haines</w:t>
      </w:r>
      <w:r w:rsidRPr="001C5D05">
        <w:t xml:space="preserve"> 2006). Framing the death penalty as a human rights issue ‘only gained traction in Europe in the 1980s’ but since then ‘has been exported to the rest of the world – including Asia – </w:t>
      </w:r>
      <w:r w:rsidR="0053176B" w:rsidRPr="001C5D05">
        <w:t>with missionary vigor’ (Johnson 2010</w:t>
      </w:r>
      <w:r w:rsidRPr="001C5D05">
        <w:t xml:space="preserve"> </w:t>
      </w:r>
      <w:r w:rsidR="0053176B" w:rsidRPr="001C5D05">
        <w:t>p.</w:t>
      </w:r>
      <w:r w:rsidRPr="001C5D05">
        <w:t>342). As Girling argues, the demand for worldwide abolition is a constituent aspect of European cosmopolitan identity, and rests on a ‘narrative of the inescapable, inevitable appeal of human rights’ (</w:t>
      </w:r>
      <w:r w:rsidR="0053176B" w:rsidRPr="001C5D05">
        <w:t xml:space="preserve">2005 </w:t>
      </w:r>
      <w:r w:rsidRPr="001C5D05">
        <w:t xml:space="preserve">p. 119). </w:t>
      </w:r>
    </w:p>
    <w:p w14:paraId="447FA82C" w14:textId="28206A86" w:rsidR="00C52BCC" w:rsidRPr="001C5D05" w:rsidRDefault="10935CA8" w:rsidP="00E826FA">
      <w:pPr>
        <w:spacing w:line="480" w:lineRule="auto"/>
        <w:ind w:firstLine="720"/>
      </w:pPr>
      <w:r w:rsidRPr="001C5D05">
        <w:t xml:space="preserve">Mail Online’s editorial line is frequently hostile to human rights </w:t>
      </w:r>
      <w:r w:rsidR="0053176B" w:rsidRPr="001C5D05">
        <w:t>discourse and legislation (Gies</w:t>
      </w:r>
      <w:r w:rsidRPr="001C5D05">
        <w:t xml:space="preserve"> 2011), but it employed this frame in relation to Sandiford’s case. Th</w:t>
      </w:r>
      <w:r w:rsidR="00287898" w:rsidRPr="001C5D05">
        <w:t>e human rights frame highlights</w:t>
      </w:r>
      <w:r w:rsidRPr="001C5D05">
        <w:t xml:space="preserve"> the brutality of the death penalty by firing squad, as evidenced in the Mail’s vivid desc</w:t>
      </w:r>
      <w:r w:rsidR="00287898" w:rsidRPr="001C5D05">
        <w:t>ription that Sandiford would be</w:t>
      </w:r>
      <w:r w:rsidRPr="001C5D05">
        <w:t xml:space="preserve"> ‘taken to waste ground […] blindfolded and shot throug</w:t>
      </w:r>
      <w:r w:rsidR="0053176B" w:rsidRPr="001C5D05">
        <w:t>h the heart’ (Shears and Miller</w:t>
      </w:r>
      <w:r w:rsidR="00A70862" w:rsidRPr="001C5D05">
        <w:t xml:space="preserve"> 2013). Such details may be used for their shock value, but perhaps also satisfy</w:t>
      </w:r>
      <w:r w:rsidRPr="001C5D05">
        <w:t xml:space="preserve"> voyeuristic fascination wi</w:t>
      </w:r>
      <w:r w:rsidR="0053176B" w:rsidRPr="001C5D05">
        <w:t>th the death penalty (see Lynch</w:t>
      </w:r>
      <w:r w:rsidRPr="001C5D05">
        <w:t xml:space="preserve"> 200</w:t>
      </w:r>
      <w:r w:rsidR="000955ED" w:rsidRPr="001C5D05">
        <w:t>0</w:t>
      </w:r>
      <w:r w:rsidRPr="001C5D05">
        <w:t xml:space="preserve">). Indeed, Mail Online had previously published a gratuitous photo essay of the final hours of three women drug mules executed in China under the headline, ‘facing their last </w:t>
      </w:r>
      <w:r w:rsidR="0053176B" w:rsidRPr="001C5D05">
        <w:t xml:space="preserve">moments with a smile’ </w:t>
      </w:r>
      <w:r w:rsidR="0053176B" w:rsidRPr="001C5D05">
        <w:lastRenderedPageBreak/>
        <w:t>(Dewsbury</w:t>
      </w:r>
      <w:r w:rsidRPr="001C5D05">
        <w:t xml:space="preserve"> 2011). Nevertheless, the human rights frame enabled the portrayal of execution as an ‘uncivilised’ punishment, disproportionate to Sandiford’s crime.</w:t>
      </w:r>
    </w:p>
    <w:p w14:paraId="706389DB" w14:textId="33528B24" w:rsidR="0070641B" w:rsidRPr="001C5D05" w:rsidRDefault="00C9316E" w:rsidP="00715D62">
      <w:pPr>
        <w:spacing w:line="480" w:lineRule="auto"/>
      </w:pPr>
      <w:r w:rsidRPr="001C5D05">
        <w:tab/>
      </w:r>
      <w:r w:rsidR="683012B4" w:rsidRPr="001C5D05">
        <w:t xml:space="preserve">Dissent from this frame came from columnist Simon Heffer. In two columns </w:t>
      </w:r>
      <w:r w:rsidR="00EE2125" w:rsidRPr="001C5D05">
        <w:t>(</w:t>
      </w:r>
      <w:r w:rsidR="683012B4" w:rsidRPr="001C5D05">
        <w:t>January and April 2013</w:t>
      </w:r>
      <w:r w:rsidR="00EE2125" w:rsidRPr="001C5D05">
        <w:t>)</w:t>
      </w:r>
      <w:r w:rsidR="683012B4" w:rsidRPr="001C5D05">
        <w:t xml:space="preserve"> he endorsed </w:t>
      </w:r>
      <w:r w:rsidR="00EE2125" w:rsidRPr="001C5D05">
        <w:t xml:space="preserve">Sandiford’s </w:t>
      </w:r>
      <w:r w:rsidR="683012B4" w:rsidRPr="001C5D05">
        <w:t>death sentence as a laudable example of taking ‘the w</w:t>
      </w:r>
      <w:r w:rsidR="0053176B" w:rsidRPr="001C5D05">
        <w:t xml:space="preserve">ar on drugs seriously’ (Heffer </w:t>
      </w:r>
      <w:r w:rsidR="683012B4" w:rsidRPr="001C5D05">
        <w:t xml:space="preserve">2013a). He argued that those breaking </w:t>
      </w:r>
      <w:r w:rsidR="00A70862" w:rsidRPr="001C5D05">
        <w:t>drug</w:t>
      </w:r>
      <w:r w:rsidR="683012B4" w:rsidRPr="001C5D05">
        <w:t xml:space="preserve"> laws ‘deserve what is coming to them’ and that Sandiford, as the ‘author</w:t>
      </w:r>
      <w:r w:rsidR="0053176B" w:rsidRPr="001C5D05">
        <w:t xml:space="preserve"> of her own misfortune’ (Heffer</w:t>
      </w:r>
      <w:r w:rsidR="683012B4" w:rsidRPr="001C5D05">
        <w:t xml:space="preserve"> 2013a), should not receive ‘special treatment’ (Heff</w:t>
      </w:r>
      <w:r w:rsidR="0053176B" w:rsidRPr="001C5D05">
        <w:t>er</w:t>
      </w:r>
      <w:r w:rsidR="683012B4" w:rsidRPr="001C5D05">
        <w:t xml:space="preserve"> 2013b). Heffer’s views were counter to all three of the frames through which Mail Online reported the story and instead explicitly aligned with the ‘war on drugs’ discourse, which advocates strong punishment to deter drug crime and conceptualises individual offenders as rational and blameworthy. This punitive framing no doubt resonated with some of Mail Online’s readership, but was distinct from the website’s news reporting, and therefore overall framing, of Sandiford’s case.</w:t>
      </w:r>
    </w:p>
    <w:p w14:paraId="35AC89A6" w14:textId="36744FDC" w:rsidR="002C2266" w:rsidRPr="001C5D05" w:rsidRDefault="00C9316E" w:rsidP="00715D62">
      <w:pPr>
        <w:spacing w:line="480" w:lineRule="auto"/>
      </w:pPr>
      <w:r w:rsidRPr="001C5D05">
        <w:tab/>
      </w:r>
      <w:r w:rsidR="00E03A03" w:rsidRPr="001C5D05">
        <w:t>T</w:t>
      </w:r>
      <w:r w:rsidR="683012B4" w:rsidRPr="001C5D05">
        <w:t xml:space="preserve">he British Government does not fund legal representation for its citizens overseas, even in capital cases. </w:t>
      </w:r>
      <w:r w:rsidR="00FB2AEB" w:rsidRPr="001C5D05">
        <w:t xml:space="preserve">Mail </w:t>
      </w:r>
      <w:r w:rsidR="002E45E9" w:rsidRPr="001C5D05">
        <w:t xml:space="preserve">Online </w:t>
      </w:r>
      <w:r w:rsidR="00FB2AEB" w:rsidRPr="001C5D05">
        <w:t>reported</w:t>
      </w:r>
      <w:r w:rsidRPr="001C5D05">
        <w:t xml:space="preserve"> that Sandiford's</w:t>
      </w:r>
      <w:r w:rsidR="683012B4" w:rsidRPr="001C5D05">
        <w:t xml:space="preserve"> law firm, Leigh Day, said that she 'had not been properly represented since her arrest at Bali airport' (Johnson, 2013) and her MP, Martin Horwood, 'urged the Foreign Office to rethink its policy on support for Britons sentenced to deat</w:t>
      </w:r>
      <w:r w:rsidR="00A70862" w:rsidRPr="001C5D05">
        <w:t>h abroad' (Johnson</w:t>
      </w:r>
      <w:r w:rsidR="0053176B" w:rsidRPr="001C5D05">
        <w:t xml:space="preserve"> 2013; Parry</w:t>
      </w:r>
      <w:r w:rsidR="683012B4" w:rsidRPr="001C5D05">
        <w:t xml:space="preserve"> 2013</w:t>
      </w:r>
      <w:r w:rsidR="00E633D1" w:rsidRPr="001C5D05">
        <w:t>c</w:t>
      </w:r>
      <w:r w:rsidR="683012B4" w:rsidRPr="001C5D05">
        <w:t xml:space="preserve">). </w:t>
      </w:r>
      <w:r w:rsidRPr="001C5D05">
        <w:t>H</w:t>
      </w:r>
      <w:r w:rsidR="683012B4" w:rsidRPr="001C5D05">
        <w:t xml:space="preserve">er Indonesian solicitor </w:t>
      </w:r>
      <w:r w:rsidRPr="001C5D05">
        <w:t xml:space="preserve">was quoted </w:t>
      </w:r>
      <w:r w:rsidR="683012B4" w:rsidRPr="001C5D05">
        <w:t>as stating 'Even Indonesia tries to defend its citizens when they are facing ser</w:t>
      </w:r>
      <w:r w:rsidR="0053176B" w:rsidRPr="001C5D05">
        <w:t>ious problems overseas' (Shears</w:t>
      </w:r>
      <w:r w:rsidR="683012B4" w:rsidRPr="001C5D05">
        <w:t xml:space="preserve"> 2013</w:t>
      </w:r>
      <w:r w:rsidR="00E633D1" w:rsidRPr="001C5D05">
        <w:t>b</w:t>
      </w:r>
      <w:r w:rsidR="683012B4" w:rsidRPr="001C5D05">
        <w:t xml:space="preserve">), </w:t>
      </w:r>
      <w:r w:rsidRPr="001C5D05">
        <w:t>articulating a criticism of</w:t>
      </w:r>
      <w:r w:rsidR="683012B4" w:rsidRPr="001C5D05">
        <w:t xml:space="preserve"> Britain, which as a European nation</w:t>
      </w:r>
      <w:r w:rsidR="00A70862" w:rsidRPr="001C5D05">
        <w:t>,</w:t>
      </w:r>
      <w:r w:rsidR="683012B4" w:rsidRPr="001C5D05">
        <w:t xml:space="preserve"> </w:t>
      </w:r>
      <w:r w:rsidRPr="001C5D05">
        <w:t>sh</w:t>
      </w:r>
      <w:r w:rsidR="683012B4" w:rsidRPr="001C5D05">
        <w:t xml:space="preserve">ould be expected to show a stronger commitment to protecting human rights. Sandiford's positioning as a member of the imagined national </w:t>
      </w:r>
      <w:r w:rsidRPr="001C5D05">
        <w:t>community</w:t>
      </w:r>
      <w:r w:rsidR="683012B4" w:rsidRPr="001C5D05">
        <w:t xml:space="preserve"> via the grandmother frame further highlighted the UK government's failure to meet its responsibility to </w:t>
      </w:r>
      <w:r w:rsidR="004A05C4" w:rsidRPr="001C5D05">
        <w:t>uphold her right to life</w:t>
      </w:r>
      <w:r w:rsidR="683012B4" w:rsidRPr="001C5D05">
        <w:t xml:space="preserve">. The unfairness </w:t>
      </w:r>
      <w:r w:rsidR="683012B4" w:rsidRPr="001C5D05">
        <w:lastRenderedPageBreak/>
        <w:t>fram</w:t>
      </w:r>
      <w:r w:rsidR="00FB2AEB" w:rsidRPr="001C5D05">
        <w:t>e</w:t>
      </w:r>
      <w:r w:rsidR="683012B4" w:rsidRPr="001C5D05">
        <w:t xml:space="preserve"> of her punishment was also relevant to the human rights frame, as it further bolstered the portrayal of her case as unjust.          </w:t>
      </w:r>
    </w:p>
    <w:p w14:paraId="37297F25" w14:textId="3172F3C4" w:rsidR="002335F1" w:rsidRPr="001C5D05" w:rsidRDefault="002335F1" w:rsidP="00715D62">
      <w:pPr>
        <w:spacing w:line="480" w:lineRule="auto"/>
      </w:pPr>
    </w:p>
    <w:p w14:paraId="4DFF801D" w14:textId="77777777" w:rsidR="0075021F" w:rsidRPr="001C5D05" w:rsidRDefault="10935CA8" w:rsidP="10935CA8">
      <w:pPr>
        <w:spacing w:line="480" w:lineRule="auto"/>
        <w:rPr>
          <w:b/>
          <w:bCs/>
        </w:rPr>
      </w:pPr>
      <w:r w:rsidRPr="001C5D05">
        <w:rPr>
          <w:b/>
          <w:bCs/>
        </w:rPr>
        <w:t>Conclusion</w:t>
      </w:r>
    </w:p>
    <w:p w14:paraId="1E98AF8A" w14:textId="3BB33927" w:rsidR="00885950" w:rsidRPr="001C5D05" w:rsidRDefault="10935CA8" w:rsidP="10935CA8">
      <w:pPr>
        <w:spacing w:line="480" w:lineRule="auto"/>
        <w:ind w:firstLine="720"/>
      </w:pPr>
      <w:r w:rsidRPr="001C5D05">
        <w:t xml:space="preserve">Drug offences comprise a significant facet of women’s criminalisation worldwide. Here we have examined the sharp end of this ‘wedge’: women subject to capital punishment for drug offences. This article offers the first attempt to map </w:t>
      </w:r>
      <w:r w:rsidR="009B7080" w:rsidRPr="001C5D05">
        <w:t xml:space="preserve">out the scale of the phenomenon. </w:t>
      </w:r>
      <w:r w:rsidRPr="001C5D05">
        <w:t xml:space="preserve">Some tentative conclusions can be drawn. The first is that there is an important degree of similarity with men subject to the death penalty for drug offences: the majority are poor and foreign; most appear to be drug mules, or street sellers. The second is that women are subject to capital punishment: they can no longer be considered ‘too few to count’. In Iran, Thailand and Indonesia drug offences were the main reason for women to be on death row or executed. Elsewhere, (such as Saudi Arabia), women </w:t>
      </w:r>
      <w:r w:rsidR="009B7080" w:rsidRPr="001C5D05">
        <w:t>are</w:t>
      </w:r>
      <w:r w:rsidRPr="001C5D05">
        <w:t xml:space="preserve"> executed in relatively small numbers. It is impossible to say whether women are more or less likely to be subject to the death penalty for drug offences than men, but it is probably the case that there is</w:t>
      </w:r>
      <w:r w:rsidR="00885950" w:rsidRPr="001C5D05">
        <w:t xml:space="preserve"> significant </w:t>
      </w:r>
      <w:r w:rsidRPr="001C5D05">
        <w:t>international</w:t>
      </w:r>
      <w:r w:rsidR="00885950" w:rsidRPr="001C5D05">
        <w:t xml:space="preserve"> variation</w:t>
      </w:r>
      <w:r w:rsidR="005C6D6F" w:rsidRPr="001C5D05">
        <w:t xml:space="preserve">. </w:t>
      </w:r>
    </w:p>
    <w:p w14:paraId="36B41878" w14:textId="6292F8F4" w:rsidR="00D54C12" w:rsidRPr="001C5D05" w:rsidRDefault="10935CA8" w:rsidP="10935CA8">
      <w:pPr>
        <w:spacing w:line="480" w:lineRule="auto"/>
        <w:ind w:firstLine="720"/>
      </w:pPr>
      <w:r w:rsidRPr="001C5D05">
        <w:t xml:space="preserve">Further research into women, drugs and the death penalty is needed: research in Saudi Arabia raises important questions regarding gender discrimination in the criminal justice system (Amnesty International 2008). We also note the lack of available data on women subject to capital punishment. Indeed, we found greater attention paid to foreign nationals and juveniles. These are recognised as specific categories worthy of note: we conclude that women ought to also join this list. States may not wish to draw attention to women executed for drug trafficking; non-governmental organisations need to break this silence. </w:t>
      </w:r>
    </w:p>
    <w:p w14:paraId="5CD09F52" w14:textId="0B9A14F0" w:rsidR="683012B4" w:rsidRPr="001C5D05" w:rsidRDefault="10935CA8" w:rsidP="000450B5">
      <w:pPr>
        <w:spacing w:after="160" w:line="480" w:lineRule="auto"/>
        <w:ind w:firstLine="720"/>
      </w:pPr>
      <w:r w:rsidRPr="001C5D05">
        <w:lastRenderedPageBreak/>
        <w:t>The second section of this article examined media frames employed in Mail Online’s coverage of Lindsay Sandiford's case, the first British woman to face the death penalty for drug offences. Her arrest, and subsequent sentence to the death penalty, prompted public discussion about the contemporary nature of the death penalty including its appropriateness as a punishment for drug traffickers. Sandiford occupies an ambivalent position. Mail Online has provided sustained and supportive coverage of her case. However, Sandiford's name in Britain does not prompt recognition in the way that Schappelle Corby's did in Australia, for example. She has not become a cause celebre and received somewhat scant television news coverage. Historical parallels can be drawn with mid twentieth-century capital cases in Britain. Middle-aged women, regarded as past sexual attractiveness, did not generate the same degree or intensity of press coverage, or level of public response, as Ruth Ellis (</w:t>
      </w:r>
      <w:r w:rsidR="00885950" w:rsidRPr="001C5D05">
        <w:t>Seal</w:t>
      </w:r>
      <w:r w:rsidRPr="001C5D05">
        <w:t xml:space="preserve"> 2014). The absence of spectacular femininity, or of the appearance of vulnerability due to youth, leads to lower cultural visibility</w:t>
      </w:r>
      <w:r w:rsidR="000450B5" w:rsidRPr="001C5D05">
        <w:t>.</w:t>
      </w:r>
      <w:r w:rsidRPr="001C5D05">
        <w:t xml:space="preserve"> </w:t>
      </w:r>
    </w:p>
    <w:p w14:paraId="4A7CFEE8" w14:textId="7FCD6A68" w:rsidR="00F04F0B" w:rsidRPr="001C5D05" w:rsidRDefault="10935CA8" w:rsidP="10935CA8">
      <w:pPr>
        <w:spacing w:after="160" w:line="480" w:lineRule="auto"/>
        <w:ind w:firstLine="720"/>
      </w:pPr>
      <w:r w:rsidRPr="001C5D05">
        <w:t xml:space="preserve">This powerful intersection between gender and age needs to be recognised as highly significant. Framing Sandiford as a grandmother was important to Mail Online's portrayal of her as sympathetic, but this inevitably positioned her as an older woman of relatively low cultural value. Whereas youth has often signified innocent victims in drug war discourse, she was not framed in this way. The context of the gendered binaries of drug war discourse also explains the cultural ambivalence toward Sandiford. As a British woman and a grandmother, she is a member of the imagined national community and an 'insider', but as a middle aged woman of ambiguous respectability, she does not fit the familiar narrative of the naïve girl led astray by the 'real' traffickers. </w:t>
      </w:r>
      <w:r w:rsidR="000450B5" w:rsidRPr="001C5D05">
        <w:t>There are few stock portrayals of older ‘criminal’ women other than the discourse of the witch, a marginalised woman who poses a th</w:t>
      </w:r>
      <w:r w:rsidR="0053176B" w:rsidRPr="001C5D05">
        <w:t>reat to the community (see Seal</w:t>
      </w:r>
      <w:r w:rsidR="000450B5" w:rsidRPr="001C5D05">
        <w:t xml:space="preserve"> 2010). </w:t>
      </w:r>
      <w:r w:rsidRPr="001C5D05">
        <w:t xml:space="preserve">In </w:t>
      </w:r>
      <w:r w:rsidRPr="001C5D05">
        <w:lastRenderedPageBreak/>
        <w:t xml:space="preserve">Indonesia, she was positioned as a threat to the nation and its children, rendering her punishable. Sandiford is ambiguously located in discourse: she is neither completely the vulnerable woman who has been coerced by villains, treated unfairly and had her human rights violated, nor a blameworthy trafficker. </w:t>
      </w:r>
    </w:p>
    <w:p w14:paraId="384BD642" w14:textId="6BF7AF9F" w:rsidR="00F737D1" w:rsidRPr="001C5D05" w:rsidRDefault="10935CA8" w:rsidP="00715D62">
      <w:pPr>
        <w:spacing w:line="480" w:lineRule="auto"/>
        <w:ind w:firstLine="720"/>
      </w:pPr>
      <w:r w:rsidRPr="001C5D05">
        <w:t>The damages wreaked by drug war discourse have been comprehensively recorded, arguably contributing to a change of direction under President Obama. However, there is likely to be a renewal of the 'war on drugs' under Trump, signalled by his reported approval for Duterte's anti-drug war in the Philippines (Vill</w:t>
      </w:r>
      <w:r w:rsidR="0053176B" w:rsidRPr="001C5D05">
        <w:t xml:space="preserve">amor </w:t>
      </w:r>
      <w:r w:rsidRPr="001C5D05">
        <w:t xml:space="preserve">2016). Although drug war discourse emanates from the USA, it has been exported worldwide and been adapted to the particular concerns of each national and political context, as can be seen in Indonesia and the Philippines, often with deadly consequences. The </w:t>
      </w:r>
      <w:r w:rsidR="00885950" w:rsidRPr="001C5D05">
        <w:t>use</w:t>
      </w:r>
      <w:r w:rsidRPr="001C5D05">
        <w:t xml:space="preserve"> of the death penalty against drug mules must be understood as a consequence of drug war discourse and policy. Such discourse relies on gendered binaries: trafficker/mule; outsider/insider. Although most of those executed are men, this number also includes women, sparking public discussion about the death penalty. Media coverage of Sandiford’s case elucidates the powerful and persistent nature of gendered binaries in how the media frames her, which in turn profoundly shape how we, as members of t</w:t>
      </w:r>
      <w:r w:rsidR="0053176B" w:rsidRPr="001C5D05">
        <w:t xml:space="preserve">he public, </w:t>
      </w:r>
      <w:r w:rsidRPr="001C5D05">
        <w:t xml:space="preserve">make sense of the death penalty.  </w:t>
      </w:r>
    </w:p>
    <w:p w14:paraId="758CE82E" w14:textId="0B2D798B" w:rsidR="00DD0544" w:rsidRPr="001C5D05" w:rsidRDefault="00715D62" w:rsidP="00885950">
      <w:pPr>
        <w:rPr>
          <w:b/>
        </w:rPr>
      </w:pPr>
      <w:r w:rsidRPr="001C5D05">
        <w:rPr>
          <w:b/>
        </w:rPr>
        <w:br w:type="page"/>
      </w:r>
    </w:p>
    <w:p w14:paraId="3D5CC297" w14:textId="44B84790" w:rsidR="00416BE4" w:rsidRPr="001C5D05" w:rsidRDefault="007C1E62" w:rsidP="007B4618">
      <w:pPr>
        <w:spacing w:line="480" w:lineRule="auto"/>
        <w:ind w:left="720" w:hanging="720"/>
        <w:rPr>
          <w:b/>
        </w:rPr>
      </w:pPr>
      <w:r w:rsidRPr="001C5D05">
        <w:rPr>
          <w:b/>
        </w:rPr>
        <w:lastRenderedPageBreak/>
        <w:t>Bibliography</w:t>
      </w:r>
    </w:p>
    <w:p w14:paraId="63A5C67E" w14:textId="77777777" w:rsidR="009F4ABA" w:rsidRPr="001C5D05" w:rsidRDefault="009F4ABA" w:rsidP="007B4618">
      <w:pPr>
        <w:autoSpaceDE w:val="0"/>
        <w:autoSpaceDN w:val="0"/>
        <w:adjustRightInd w:val="0"/>
        <w:spacing w:line="480" w:lineRule="auto"/>
        <w:ind w:left="720" w:hanging="720"/>
        <w:rPr>
          <w:rFonts w:eastAsia="Garamond" w:cs="Garamond"/>
        </w:rPr>
      </w:pPr>
      <w:r w:rsidRPr="001C5D05">
        <w:rPr>
          <w:rFonts w:eastAsia="Garamond" w:cs="Garamond"/>
        </w:rPr>
        <w:t xml:space="preserve">Altheide, D. L. (1996) </w:t>
      </w:r>
      <w:r w:rsidRPr="001C5D05">
        <w:rPr>
          <w:rFonts w:eastAsia="Garamond" w:cs="Garamond"/>
          <w:i/>
          <w:iCs/>
        </w:rPr>
        <w:t>Qualitative Media Analysis</w:t>
      </w:r>
      <w:r w:rsidRPr="001C5D05">
        <w:rPr>
          <w:rFonts w:eastAsia="Garamond" w:cs="Garamond"/>
        </w:rPr>
        <w:t xml:space="preserve">, London: Sage. </w:t>
      </w:r>
    </w:p>
    <w:p w14:paraId="69BCB7EC" w14:textId="77777777" w:rsidR="009F4ABA" w:rsidRPr="001C5D05" w:rsidRDefault="009F4ABA" w:rsidP="007B4618">
      <w:pPr>
        <w:spacing w:line="480" w:lineRule="auto"/>
        <w:ind w:left="720" w:hanging="720"/>
      </w:pPr>
      <w:r w:rsidRPr="001C5D05">
        <w:t xml:space="preserve">Amnesty International (2008) </w:t>
      </w:r>
      <w:r w:rsidRPr="001C5D05">
        <w:rPr>
          <w:i/>
        </w:rPr>
        <w:t>Affront to Justice: Death Penalty in Saudi Arabia</w:t>
      </w:r>
      <w:r w:rsidRPr="001C5D05">
        <w:t xml:space="preserve">. London: Amnesty International. </w:t>
      </w:r>
    </w:p>
    <w:p w14:paraId="07E8C502" w14:textId="77777777" w:rsidR="009F4ABA" w:rsidRPr="001C5D05" w:rsidRDefault="009F4ABA" w:rsidP="007B4618">
      <w:pPr>
        <w:spacing w:line="480" w:lineRule="auto"/>
        <w:ind w:left="720" w:hanging="720"/>
        <w:rPr>
          <w:bCs/>
        </w:rPr>
      </w:pPr>
      <w:r w:rsidRPr="001C5D05">
        <w:t>Amnesty International (2011) ‘Urgent Action: Three mothers sentenced to death in Iran’, 16</w:t>
      </w:r>
      <w:r w:rsidRPr="001C5D05">
        <w:rPr>
          <w:vertAlign w:val="superscript"/>
        </w:rPr>
        <w:t>th</w:t>
      </w:r>
      <w:r w:rsidRPr="001C5D05">
        <w:t xml:space="preserve"> June. </w:t>
      </w:r>
      <w:hyperlink r:id="rId9">
        <w:r w:rsidRPr="001C5D05">
          <w:rPr>
            <w:rStyle w:val="Hyperlink"/>
            <w:rFonts w:eastAsia="Times New Roman" w:cs="Times New Roman"/>
            <w:color w:val="auto"/>
          </w:rPr>
          <w:t>https://www.amnesty.org/download/Documents/32000/mde130592011en.pdf</w:t>
        </w:r>
      </w:hyperlink>
      <w:r w:rsidRPr="001C5D05">
        <w:rPr>
          <w:rStyle w:val="HTMLCite"/>
          <w:rFonts w:eastAsia="Times New Roman" w:cs="Times New Roman"/>
        </w:rPr>
        <w:t xml:space="preserve"> </w:t>
      </w:r>
    </w:p>
    <w:p w14:paraId="07DAA344" w14:textId="3B47FE4D" w:rsidR="009F4ABA" w:rsidRPr="001C5D05" w:rsidRDefault="009F4ABA" w:rsidP="007B4618">
      <w:pPr>
        <w:spacing w:line="480" w:lineRule="auto"/>
        <w:ind w:left="720" w:hanging="720"/>
      </w:pPr>
      <w:r w:rsidRPr="001C5D05">
        <w:t xml:space="preserve">Amnesty International (2016a) </w:t>
      </w:r>
      <w:r w:rsidRPr="001C5D05">
        <w:rPr>
          <w:i/>
          <w:iCs/>
        </w:rPr>
        <w:t>Death Sentences and Executions in 2015</w:t>
      </w:r>
      <w:r w:rsidRPr="001C5D05">
        <w:t xml:space="preserve">. London: Amnesty International. </w:t>
      </w:r>
    </w:p>
    <w:p w14:paraId="69B60A65" w14:textId="77777777" w:rsidR="009F4ABA" w:rsidRPr="001C5D05" w:rsidRDefault="009F4ABA" w:rsidP="007B4618">
      <w:pPr>
        <w:spacing w:line="480" w:lineRule="auto"/>
        <w:ind w:left="720" w:hanging="720"/>
      </w:pPr>
      <w:r w:rsidRPr="001C5D05">
        <w:t xml:space="preserve">Amnesty International (2016b) </w:t>
      </w:r>
      <w:r w:rsidRPr="001C5D05">
        <w:rPr>
          <w:i/>
        </w:rPr>
        <w:t>Stop the cycle of violence: The use of the death penalty for terrorism-related offences</w:t>
      </w:r>
      <w:r w:rsidRPr="001C5D05">
        <w:t>. London: Amnesty International.</w:t>
      </w:r>
    </w:p>
    <w:p w14:paraId="07B9A25B" w14:textId="77777777" w:rsidR="009F4ABA" w:rsidRPr="001C5D05" w:rsidRDefault="009F4ABA" w:rsidP="007B4618">
      <w:pPr>
        <w:spacing w:line="480" w:lineRule="auto"/>
        <w:ind w:left="720" w:hanging="720"/>
      </w:pPr>
      <w:r w:rsidRPr="001C5D05">
        <w:t xml:space="preserve">Amnesty International (2017) </w:t>
      </w:r>
      <w:r w:rsidRPr="001C5D05">
        <w:rPr>
          <w:i/>
        </w:rPr>
        <w:t>Death Sentences and Executions in 2016</w:t>
      </w:r>
      <w:r w:rsidRPr="001C5D05">
        <w:t>. London: Amnesty International.</w:t>
      </w:r>
    </w:p>
    <w:p w14:paraId="7796327B" w14:textId="53F3A1DE" w:rsidR="009F4ABA" w:rsidRPr="001C5D05" w:rsidRDefault="009F4ABA" w:rsidP="007B4618">
      <w:pPr>
        <w:spacing w:line="480" w:lineRule="auto"/>
        <w:ind w:left="720" w:hanging="720"/>
      </w:pPr>
      <w:r w:rsidRPr="001C5D05">
        <w:t>Amnesty International, Anti Death Penalty Asia Network, Harm Reduction International, International Drug Policy Consortium, Penal Reform International and the World Coalition Against the Death Penalty (2016)</w:t>
      </w:r>
      <w:r w:rsidRPr="001C5D05">
        <w:rPr>
          <w:i/>
        </w:rPr>
        <w:t xml:space="preserve"> Joint Statement: The death penalty for drug-related offences. </w:t>
      </w:r>
      <w:r w:rsidRPr="001C5D05">
        <w:t xml:space="preserve">London: Harm Reduction International. </w:t>
      </w:r>
    </w:p>
    <w:p w14:paraId="581B8614" w14:textId="77777777" w:rsidR="009F4ABA" w:rsidRPr="001C5D05" w:rsidRDefault="009F4ABA" w:rsidP="007B4618">
      <w:pPr>
        <w:spacing w:line="480" w:lineRule="auto"/>
        <w:ind w:left="720" w:hanging="720"/>
      </w:pPr>
      <w:r w:rsidRPr="001C5D05">
        <w:t xml:space="preserve">Anderson, B. (1983) </w:t>
      </w:r>
      <w:r w:rsidRPr="001C5D05">
        <w:rPr>
          <w:i/>
        </w:rPr>
        <w:t>Imagined Communities: Reflections on the Origins and Spread of Nationalism</w:t>
      </w:r>
      <w:r w:rsidRPr="001C5D05">
        <w:t>. London: Verso.</w:t>
      </w:r>
    </w:p>
    <w:p w14:paraId="32F38E99" w14:textId="77777777" w:rsidR="009F4ABA" w:rsidRPr="001C5D05" w:rsidRDefault="009F4ABA" w:rsidP="000E6E5D">
      <w:pPr>
        <w:spacing w:line="480" w:lineRule="auto"/>
        <w:ind w:left="720" w:hanging="720"/>
      </w:pPr>
      <w:r w:rsidRPr="001C5D05">
        <w:t xml:space="preserve"> Associated Press and News Corp Australia Network (2016) ‘A 73-year-old Aussie woman has had her death penalty reduced to life in Vietnam’, News AU, 22 November. </w:t>
      </w:r>
    </w:p>
    <w:p w14:paraId="44B25B8C" w14:textId="77777777" w:rsidR="009F4ABA" w:rsidRPr="001C5D05" w:rsidRDefault="009F4ABA" w:rsidP="007B4618">
      <w:pPr>
        <w:spacing w:line="480" w:lineRule="auto"/>
        <w:ind w:left="720" w:hanging="720"/>
      </w:pPr>
      <w:r w:rsidRPr="001C5D05">
        <w:t xml:space="preserve">Ayres, T. and Jewkes, Y. (2012) The Haunting Spectacle of Crystal Meth: A Media-Created Mythology?’ </w:t>
      </w:r>
      <w:r w:rsidRPr="001C5D05">
        <w:rPr>
          <w:i/>
        </w:rPr>
        <w:t>Crime, Media, Culture</w:t>
      </w:r>
      <w:r w:rsidRPr="001C5D05">
        <w:t>, 8(3): 315-332.</w:t>
      </w:r>
    </w:p>
    <w:p w14:paraId="096EED25" w14:textId="77777777" w:rsidR="009F4ABA" w:rsidRPr="001C5D05" w:rsidRDefault="009F4ABA" w:rsidP="007B4618">
      <w:pPr>
        <w:spacing w:line="480" w:lineRule="auto"/>
        <w:ind w:left="720" w:hanging="720"/>
      </w:pPr>
      <w:r w:rsidRPr="001C5D05">
        <w:lastRenderedPageBreak/>
        <w:t xml:space="preserve">Ballinger, A. (2000) </w:t>
      </w:r>
      <w:r w:rsidRPr="001C5D05">
        <w:rPr>
          <w:i/>
        </w:rPr>
        <w:t>Dead Woman Walking: Executed Women in England and Wales 1900-1965</w:t>
      </w:r>
      <w:r w:rsidRPr="001C5D05">
        <w:t>. Aldershot: Ashgate.</w:t>
      </w:r>
    </w:p>
    <w:p w14:paraId="7F8C4B67" w14:textId="77777777" w:rsidR="009F4ABA" w:rsidRPr="001C5D05" w:rsidRDefault="009F4ABA" w:rsidP="007B4618">
      <w:pPr>
        <w:spacing w:line="480" w:lineRule="auto"/>
        <w:ind w:left="720" w:hanging="720"/>
      </w:pPr>
      <w:r w:rsidRPr="001C5D05">
        <w:t xml:space="preserve">Ballinger, A. (2007) ‘Masculinity in the Dock: Legal Responses to Male Violence and Female Retaliation in England and Wales, 1900-1965’, </w:t>
      </w:r>
      <w:r w:rsidRPr="001C5D05">
        <w:rPr>
          <w:i/>
        </w:rPr>
        <w:t>Social and Legal Studies</w:t>
      </w:r>
      <w:r w:rsidRPr="001C5D05">
        <w:t>, 16(4): 459-481.</w:t>
      </w:r>
    </w:p>
    <w:p w14:paraId="443599A4" w14:textId="77777777" w:rsidR="009F4ABA" w:rsidRPr="001C5D05" w:rsidRDefault="009F4ABA" w:rsidP="007B4618">
      <w:pPr>
        <w:spacing w:line="480" w:lineRule="auto"/>
        <w:ind w:left="720" w:hanging="720"/>
      </w:pPr>
      <w:r w:rsidRPr="001C5D05">
        <w:t xml:space="preserve">Bancroft, A. (2009) </w:t>
      </w:r>
      <w:r w:rsidRPr="001C5D05">
        <w:rPr>
          <w:i/>
        </w:rPr>
        <w:t>Drugs, intoxication and society</w:t>
      </w:r>
      <w:r w:rsidRPr="001C5D05">
        <w:t>. Cambridge; Polity.</w:t>
      </w:r>
    </w:p>
    <w:p w14:paraId="5753FFB8" w14:textId="77777777" w:rsidR="009F4ABA" w:rsidRPr="001C5D05" w:rsidRDefault="009F4ABA" w:rsidP="007B4618">
      <w:pPr>
        <w:spacing w:line="480" w:lineRule="auto"/>
        <w:ind w:left="720" w:hanging="720"/>
      </w:pPr>
      <w:r w:rsidRPr="001C5D05">
        <w:t xml:space="preserve">Barlow, C. (2015) ‘Silencing the Other: Gendered Representations of Co-accused Women Offenders’, </w:t>
      </w:r>
      <w:r w:rsidRPr="001C5D05">
        <w:rPr>
          <w:i/>
        </w:rPr>
        <w:t>The Howard Journal</w:t>
      </w:r>
      <w:r w:rsidRPr="001C5D05">
        <w:t>, 54(5): 469-488.</w:t>
      </w:r>
    </w:p>
    <w:p w14:paraId="4C861933" w14:textId="77777777" w:rsidR="009F4ABA" w:rsidRPr="001C5D05" w:rsidRDefault="009F4ABA" w:rsidP="007B4618">
      <w:pPr>
        <w:spacing w:line="480" w:lineRule="auto"/>
        <w:ind w:left="720" w:hanging="720"/>
      </w:pPr>
      <w:r w:rsidRPr="001C5D05">
        <w:t xml:space="preserve">Barlow, C. (2016) ‘Sketching Women in Court: The Visual Construction of Co-accused Women in Court Drawings’, </w:t>
      </w:r>
      <w:r w:rsidRPr="001C5D05">
        <w:rPr>
          <w:i/>
        </w:rPr>
        <w:t>Feminist Legal Studies</w:t>
      </w:r>
      <w:r w:rsidRPr="001C5D05">
        <w:t>, 24(2): 169-192.</w:t>
      </w:r>
    </w:p>
    <w:p w14:paraId="4F818DD2" w14:textId="77777777" w:rsidR="009F4ABA" w:rsidRPr="001C5D05" w:rsidRDefault="009F4ABA" w:rsidP="007B4618">
      <w:pPr>
        <w:spacing w:line="480" w:lineRule="auto"/>
        <w:ind w:left="720" w:hanging="720"/>
        <w:rPr>
          <w:i/>
          <w:iCs/>
        </w:rPr>
      </w:pPr>
      <w:r w:rsidRPr="001C5D05">
        <w:t xml:space="preserve">Barrett, D. (Ed.). (2011) </w:t>
      </w:r>
      <w:r w:rsidRPr="001C5D05">
        <w:rPr>
          <w:i/>
          <w:iCs/>
        </w:rPr>
        <w:t>Children of the drug war: Perspectives on the impact of drug policies on young people</w:t>
      </w:r>
      <w:r w:rsidRPr="001C5D05">
        <w:t>. New York: idebate Press.</w:t>
      </w:r>
    </w:p>
    <w:p w14:paraId="382A9864" w14:textId="77777777" w:rsidR="009F4ABA" w:rsidRPr="001C5D05" w:rsidRDefault="009F4ABA" w:rsidP="007B4618">
      <w:pPr>
        <w:autoSpaceDE w:val="0"/>
        <w:autoSpaceDN w:val="0"/>
        <w:adjustRightInd w:val="0"/>
        <w:spacing w:line="480" w:lineRule="auto"/>
        <w:ind w:left="720" w:hanging="720"/>
        <w:rPr>
          <w:rFonts w:eastAsia="Garamond" w:cs="Garamond"/>
        </w:rPr>
      </w:pPr>
      <w:r w:rsidRPr="001C5D05">
        <w:rPr>
          <w:rFonts w:eastAsia="Garamond" w:cs="Garamond"/>
        </w:rPr>
        <w:t xml:space="preserve">Baumgartner, F. R., De Boef, S. L., and Boydstun, A. E., (2008) </w:t>
      </w:r>
      <w:r w:rsidRPr="001C5D05">
        <w:rPr>
          <w:rFonts w:eastAsia="Garamond" w:cs="Garamond"/>
          <w:i/>
          <w:iCs/>
        </w:rPr>
        <w:t>The Decline of the Death Penalty and the Discovery of Innocence</w:t>
      </w:r>
      <w:r w:rsidRPr="001C5D05">
        <w:rPr>
          <w:rFonts w:eastAsia="Garamond" w:cs="Garamond"/>
        </w:rPr>
        <w:t xml:space="preserve">, Cambridge: Cambridge University Press. </w:t>
      </w:r>
    </w:p>
    <w:p w14:paraId="55250BC5" w14:textId="16C6832C" w:rsidR="009F4ABA" w:rsidRPr="001C5D05" w:rsidRDefault="009F4ABA" w:rsidP="007B4618">
      <w:pPr>
        <w:spacing w:line="480" w:lineRule="auto"/>
        <w:ind w:left="720" w:hanging="720"/>
      </w:pPr>
      <w:r w:rsidRPr="001C5D05">
        <w:t>BBC News (2016) Indonesian and three Nigeri</w:t>
      </w:r>
      <w:r w:rsidR="008D03A2" w:rsidRPr="001C5D05">
        <w:t xml:space="preserve">ans executed for drug crimes, </w:t>
      </w:r>
      <w:r w:rsidR="008D03A2" w:rsidRPr="001C5D05">
        <w:rPr>
          <w:i/>
        </w:rPr>
        <w:t>BBC News</w:t>
      </w:r>
      <w:r w:rsidR="008D03A2" w:rsidRPr="001C5D05">
        <w:t>, July 26.</w:t>
      </w:r>
      <w:r w:rsidRPr="001C5D05">
        <w:t xml:space="preserve"> </w:t>
      </w:r>
    </w:p>
    <w:p w14:paraId="09415D6F" w14:textId="77777777" w:rsidR="009F4ABA" w:rsidRPr="001C5D05" w:rsidRDefault="009F4ABA" w:rsidP="007B4618">
      <w:pPr>
        <w:spacing w:line="480" w:lineRule="auto"/>
        <w:ind w:left="720" w:hanging="720"/>
      </w:pPr>
      <w:r w:rsidRPr="001C5D05">
        <w:t xml:space="preserve">Belknap, J. (2015) </w:t>
      </w:r>
      <w:r w:rsidRPr="001C5D05">
        <w:rPr>
          <w:i/>
        </w:rPr>
        <w:t>The Invisible Woman: Gender, Crime and Justice</w:t>
      </w:r>
      <w:r w:rsidRPr="001C5D05">
        <w:t>. Stamford: Cengage Learning. 4</w:t>
      </w:r>
      <w:r w:rsidRPr="001C5D05">
        <w:rPr>
          <w:vertAlign w:val="superscript"/>
        </w:rPr>
        <w:t>th</w:t>
      </w:r>
      <w:r w:rsidRPr="001C5D05">
        <w:t xml:space="preserve"> edition.</w:t>
      </w:r>
    </w:p>
    <w:p w14:paraId="2BAA2F23" w14:textId="77777777" w:rsidR="009F4ABA" w:rsidRPr="001C5D05" w:rsidRDefault="009F4ABA" w:rsidP="007B4618">
      <w:pPr>
        <w:spacing w:line="480" w:lineRule="auto"/>
        <w:ind w:left="720" w:hanging="720"/>
      </w:pPr>
      <w:r w:rsidRPr="001C5D05">
        <w:t xml:space="preserve">Black, J. (2013) The lives of my children were in danger, Mail Online, 7 January: </w:t>
      </w:r>
    </w:p>
    <w:p w14:paraId="3ADF13F4" w14:textId="77777777" w:rsidR="009F4ABA" w:rsidRPr="001C5D05" w:rsidRDefault="009F4ABA" w:rsidP="007B4618">
      <w:pPr>
        <w:spacing w:line="480" w:lineRule="auto"/>
        <w:ind w:left="720" w:hanging="720"/>
      </w:pPr>
      <w:r w:rsidRPr="001C5D05">
        <w:t xml:space="preserve">Black, L. (2016) </w:t>
      </w:r>
      <w:r w:rsidRPr="001C5D05">
        <w:rPr>
          <w:i/>
        </w:rPr>
        <w:t>Gendering the Condemned? Women and Capital Punishment in Ireland Post-1922</w:t>
      </w:r>
      <w:r w:rsidRPr="001C5D05">
        <w:t>. Unpublished PhD Thesis, University of Dublin, Trinity College.</w:t>
      </w:r>
    </w:p>
    <w:p w14:paraId="1B0D40FF" w14:textId="77777777" w:rsidR="009F4ABA" w:rsidRPr="001C5D05" w:rsidRDefault="009F4ABA" w:rsidP="007B4618">
      <w:pPr>
        <w:spacing w:line="480" w:lineRule="auto"/>
        <w:ind w:left="720" w:hanging="720"/>
      </w:pPr>
      <w:r w:rsidRPr="001C5D05">
        <w:t xml:space="preserve">Boyd, S. C. (2007) ‘Drug Films, Justice, and Nationhood 1’ </w:t>
      </w:r>
      <w:r w:rsidRPr="001C5D05">
        <w:rPr>
          <w:i/>
        </w:rPr>
        <w:t>Contemporary Justice Review</w:t>
      </w:r>
      <w:r w:rsidRPr="001C5D05">
        <w:t xml:space="preserve">, 10(3), 263–282. </w:t>
      </w:r>
    </w:p>
    <w:p w14:paraId="668349CE" w14:textId="4495AFF1" w:rsidR="009F4ABA" w:rsidRPr="001C5D05" w:rsidRDefault="009F4ABA" w:rsidP="007B4618">
      <w:pPr>
        <w:spacing w:line="480" w:lineRule="auto"/>
        <w:ind w:left="720" w:hanging="720"/>
      </w:pPr>
      <w:r w:rsidRPr="001C5D05">
        <w:lastRenderedPageBreak/>
        <w:t>Bush-Baskette, S. (2004) ‘The war on drugs as a war against Black women’. In</w:t>
      </w:r>
      <w:r w:rsidR="00843A0D" w:rsidRPr="001C5D05">
        <w:t>:</w:t>
      </w:r>
      <w:r w:rsidRPr="001C5D05">
        <w:t xml:space="preserve"> M. Chesney-Lind &amp; L. Pasko (Eds.), </w:t>
      </w:r>
      <w:r w:rsidRPr="001C5D05">
        <w:rPr>
          <w:i/>
          <w:iCs/>
        </w:rPr>
        <w:t>Girls, women, and crime: selected readings,</w:t>
      </w:r>
      <w:r w:rsidRPr="001C5D05">
        <w:t xml:space="preserve"> London: Sage. </w:t>
      </w:r>
    </w:p>
    <w:p w14:paraId="55B35580" w14:textId="77777777" w:rsidR="009F4ABA" w:rsidRPr="001C5D05" w:rsidRDefault="009F4ABA" w:rsidP="007B4618">
      <w:pPr>
        <w:spacing w:line="480" w:lineRule="auto"/>
        <w:ind w:left="720" w:hanging="720"/>
      </w:pPr>
      <w:r w:rsidRPr="001C5D05">
        <w:t xml:space="preserve">Carlen, P. (2002) </w:t>
      </w:r>
      <w:r w:rsidRPr="001C5D05">
        <w:rPr>
          <w:i/>
        </w:rPr>
        <w:t>Women and Punishment: The Struggle for Justice</w:t>
      </w:r>
      <w:r w:rsidRPr="001C5D05">
        <w:t>, London: Routledge.</w:t>
      </w:r>
    </w:p>
    <w:p w14:paraId="5BE3FE64" w14:textId="77777777" w:rsidR="009F4ABA" w:rsidRPr="001C5D05" w:rsidRDefault="009F4ABA" w:rsidP="007B4618">
      <w:pPr>
        <w:spacing w:line="480" w:lineRule="auto"/>
        <w:ind w:left="720" w:hanging="720"/>
      </w:pPr>
      <w:r w:rsidRPr="001C5D05">
        <w:t xml:space="preserve">Chesney-Lind, M., and Mauer, M. (Eds.) (2003) </w:t>
      </w:r>
      <w:r w:rsidRPr="001C5D05">
        <w:rPr>
          <w:i/>
          <w:iCs/>
        </w:rPr>
        <w:t>Invisible punishment: The collateral consequences of mass imprisonment</w:t>
      </w:r>
      <w:r w:rsidRPr="001C5D05">
        <w:t>. New York: The New Press.</w:t>
      </w:r>
    </w:p>
    <w:p w14:paraId="54A33BF0" w14:textId="77777777" w:rsidR="009F4ABA" w:rsidRPr="001C5D05" w:rsidRDefault="009F4ABA" w:rsidP="007B4618">
      <w:pPr>
        <w:spacing w:line="480" w:lineRule="auto"/>
        <w:ind w:left="720" w:hanging="720"/>
      </w:pPr>
      <w:r w:rsidRPr="001C5D05">
        <w:t xml:space="preserve">Cockburn, H. (2016) Philippines President Rodrigo Duterte Calls for Reintroduction of the Death Penalty "In Case there is No God", 27 September, </w:t>
      </w:r>
      <w:r w:rsidRPr="001C5D05">
        <w:rPr>
          <w:i/>
        </w:rPr>
        <w:t>The Independent</w:t>
      </w:r>
      <w:r w:rsidRPr="001C5D05">
        <w:t xml:space="preserve">. </w:t>
      </w:r>
    </w:p>
    <w:p w14:paraId="153F3876" w14:textId="77777777" w:rsidR="009F4ABA" w:rsidRPr="001C5D05" w:rsidRDefault="009F4ABA" w:rsidP="007B4618">
      <w:pPr>
        <w:spacing w:line="480" w:lineRule="auto"/>
        <w:ind w:left="720" w:hanging="720"/>
      </w:pPr>
      <w:r w:rsidRPr="001C5D05">
        <w:t xml:space="preserve">Corva, D. (2008) ‘Neoliberal globalization and the war on drugs: transnationalizing illiberal governance in the Americas’, </w:t>
      </w:r>
      <w:r w:rsidRPr="001C5D05">
        <w:rPr>
          <w:i/>
        </w:rPr>
        <w:t>Political Geography</w:t>
      </w:r>
      <w:r w:rsidRPr="001C5D05">
        <w:t>, 27, 176–193.</w:t>
      </w:r>
    </w:p>
    <w:p w14:paraId="3565CB47" w14:textId="77777777" w:rsidR="009F4ABA" w:rsidRPr="001C5D05" w:rsidRDefault="009F4ABA" w:rsidP="007B4618">
      <w:pPr>
        <w:spacing w:line="480" w:lineRule="auto"/>
        <w:ind w:left="720" w:hanging="720"/>
      </w:pPr>
      <w:r w:rsidRPr="001C5D05">
        <w:t xml:space="preserve">Crick, E. (2012) ‘Drugs as an existential threat: An analysis of the international securitization of drugs’, </w:t>
      </w:r>
      <w:r w:rsidRPr="001C5D05">
        <w:rPr>
          <w:i/>
        </w:rPr>
        <w:t>International Journal of Drug Policy</w:t>
      </w:r>
      <w:r w:rsidRPr="001C5D05">
        <w:t>, 23(5), 407-414.</w:t>
      </w:r>
    </w:p>
    <w:p w14:paraId="1D34366A" w14:textId="77777777" w:rsidR="009F4ABA" w:rsidRPr="001C5D05" w:rsidRDefault="009F4ABA" w:rsidP="007B4618">
      <w:pPr>
        <w:spacing w:line="480" w:lineRule="auto"/>
        <w:ind w:left="720" w:hanging="720"/>
        <w:rPr>
          <w:rFonts w:eastAsia="Times New Roman" w:cs="Times New Roman"/>
        </w:rPr>
      </w:pPr>
      <w:r w:rsidRPr="001C5D05">
        <w:rPr>
          <w:rFonts w:eastAsia="Times New Roman" w:cs="Times New Roman"/>
        </w:rPr>
        <w:t xml:space="preserve">Death Penalty Worldwide (2016) ‘Death penalty Database’, Ithaca: Cornell Centre on the Death Penalty Worldwide </w:t>
      </w:r>
      <w:hyperlink r:id="rId10">
        <w:r w:rsidRPr="001C5D05">
          <w:rPr>
            <w:rStyle w:val="Hyperlink"/>
            <w:rFonts w:eastAsia="Times New Roman" w:cs="Times New Roman"/>
            <w:color w:val="auto"/>
          </w:rPr>
          <w:t>http://www.deathpenaltyworldwide.org</w:t>
        </w:r>
      </w:hyperlink>
      <w:r w:rsidRPr="001C5D05">
        <w:rPr>
          <w:rFonts w:eastAsia="Times New Roman" w:cs="Times New Roman"/>
        </w:rPr>
        <w:t xml:space="preserve"> </w:t>
      </w:r>
    </w:p>
    <w:p w14:paraId="77184F41" w14:textId="3D8B98C7" w:rsidR="009F4ABA" w:rsidRPr="001C5D05" w:rsidRDefault="009F4ABA" w:rsidP="007B4618">
      <w:pPr>
        <w:spacing w:line="480" w:lineRule="auto"/>
        <w:ind w:left="720" w:hanging="720"/>
      </w:pPr>
      <w:r w:rsidRPr="001C5D05">
        <w:t>del Olmo, R. (1996) ‘Discourses, Perceptions and Policies’, in P. Green (ed</w:t>
      </w:r>
      <w:r w:rsidRPr="001C5D05">
        <w:rPr>
          <w:i/>
        </w:rPr>
        <w:t>.), Drug Couriers: A New Perspective</w:t>
      </w:r>
      <w:r w:rsidRPr="001C5D05">
        <w:t>, London: Quartet.</w:t>
      </w:r>
    </w:p>
    <w:p w14:paraId="7AA56D24" w14:textId="77777777" w:rsidR="009F4ABA" w:rsidRPr="001C5D05" w:rsidRDefault="009F4ABA" w:rsidP="007B4618">
      <w:pPr>
        <w:spacing w:line="480" w:lineRule="auto"/>
        <w:ind w:left="720" w:hanging="720"/>
      </w:pPr>
      <w:r w:rsidRPr="001C5D05">
        <w:t>Dewsbury, R. (2011) Facing their last moments with a smile: The Chinese women about to be executed for drug smuggling, 5</w:t>
      </w:r>
      <w:r w:rsidRPr="001C5D05">
        <w:rPr>
          <w:vertAlign w:val="superscript"/>
        </w:rPr>
        <w:t>th</w:t>
      </w:r>
      <w:r w:rsidRPr="001C5D05">
        <w:t xml:space="preserve"> December, Mail Online. </w:t>
      </w:r>
    </w:p>
    <w:p w14:paraId="3758FA16" w14:textId="77777777" w:rsidR="009F4ABA" w:rsidRPr="001C5D05" w:rsidRDefault="009F4ABA" w:rsidP="007B4618">
      <w:pPr>
        <w:spacing w:line="480" w:lineRule="auto"/>
        <w:ind w:left="720" w:hanging="720"/>
      </w:pPr>
      <w:r w:rsidRPr="001C5D05">
        <w:t xml:space="preserve">Fleetwood, J. (2014) </w:t>
      </w:r>
      <w:r w:rsidRPr="001C5D05">
        <w:rPr>
          <w:i/>
        </w:rPr>
        <w:t>Drug mules: Women in the International Drug Trade</w:t>
      </w:r>
      <w:r w:rsidRPr="001C5D05">
        <w:t xml:space="preserve">, Basingstoke: Palgrave MacMillan. </w:t>
      </w:r>
    </w:p>
    <w:p w14:paraId="6B7EE925" w14:textId="77777777" w:rsidR="009F4ABA" w:rsidRPr="001C5D05" w:rsidRDefault="009F4ABA" w:rsidP="007B4618">
      <w:pPr>
        <w:spacing w:line="480" w:lineRule="auto"/>
        <w:ind w:left="720" w:hanging="720"/>
      </w:pPr>
      <w:r w:rsidRPr="001C5D05">
        <w:t xml:space="preserve">Foreign and Commonwealth Office (2007) </w:t>
      </w:r>
      <w:r w:rsidRPr="001C5D05">
        <w:rPr>
          <w:i/>
        </w:rPr>
        <w:t>FCO departmental report 2006/7: SP2 Reducing the harm to the UK from international crime, including drug trafficking, people smuggling and money laundering</w:t>
      </w:r>
      <w:r w:rsidRPr="001C5D05">
        <w:t xml:space="preserve">, London: Foreign and Commonwealth Office. </w:t>
      </w:r>
    </w:p>
    <w:p w14:paraId="7EC31165" w14:textId="77777777" w:rsidR="009F4ABA" w:rsidRPr="001C5D05" w:rsidRDefault="009F4ABA" w:rsidP="007B4618">
      <w:pPr>
        <w:spacing w:line="480" w:lineRule="auto"/>
        <w:ind w:left="720" w:hanging="720"/>
      </w:pPr>
      <w:r w:rsidRPr="001C5D05">
        <w:lastRenderedPageBreak/>
        <w:t xml:space="preserve">Foreign and Commonwealth Office (2013) </w:t>
      </w:r>
      <w:r w:rsidRPr="001C5D05">
        <w:rPr>
          <w:i/>
          <w:iCs/>
        </w:rPr>
        <w:t>British Behaviour Abroad</w:t>
      </w:r>
      <w:r w:rsidRPr="001C5D05">
        <w:t xml:space="preserve">, London: Foreign and Commonwealth Office. </w:t>
      </w:r>
    </w:p>
    <w:p w14:paraId="1C7F51B2" w14:textId="77777777" w:rsidR="009F4ABA" w:rsidRPr="001C5D05" w:rsidRDefault="009F4ABA" w:rsidP="007B4618">
      <w:pPr>
        <w:spacing w:line="480" w:lineRule="auto"/>
        <w:ind w:left="720" w:hanging="720"/>
      </w:pPr>
      <w:r w:rsidRPr="001C5D05">
        <w:t xml:space="preserve">Foreign and Commonwealth Office (2016) </w:t>
      </w:r>
      <w:r w:rsidRPr="001C5D05">
        <w:rPr>
          <w:i/>
          <w:iCs/>
        </w:rPr>
        <w:t xml:space="preserve">Helping British Nationals Abroad 2015-2016, </w:t>
      </w:r>
      <w:r w:rsidRPr="001C5D05">
        <w:t xml:space="preserve">London: Foreign and Commonwealth Office. </w:t>
      </w:r>
    </w:p>
    <w:p w14:paraId="5B6DD2D5" w14:textId="77777777" w:rsidR="009F4ABA" w:rsidRPr="001C5D05" w:rsidRDefault="009F4ABA" w:rsidP="007B4618">
      <w:pPr>
        <w:spacing w:line="480" w:lineRule="auto"/>
        <w:ind w:left="720" w:hanging="720"/>
      </w:pPr>
      <w:r w:rsidRPr="001C5D05">
        <w:t xml:space="preserve">Fukumi, S. (2008) </w:t>
      </w:r>
      <w:r w:rsidRPr="001C5D05">
        <w:rPr>
          <w:i/>
        </w:rPr>
        <w:t>Cocaine Trafficking in Latin America: EU and US Policy Responses</w:t>
      </w:r>
      <w:r w:rsidRPr="001C5D05">
        <w:t>, London: Ashgate.</w:t>
      </w:r>
    </w:p>
    <w:p w14:paraId="1F3E25EC" w14:textId="77777777" w:rsidR="009F4ABA" w:rsidRPr="001C5D05" w:rsidRDefault="009F4ABA" w:rsidP="007B4618">
      <w:pPr>
        <w:spacing w:line="480" w:lineRule="auto"/>
        <w:ind w:left="720" w:hanging="720"/>
      </w:pPr>
      <w:r w:rsidRPr="001C5D05">
        <w:t xml:space="preserve">Gallahue, P., &amp; Lines, R. (2015) </w:t>
      </w:r>
      <w:r w:rsidRPr="001C5D05">
        <w:rPr>
          <w:i/>
          <w:iCs/>
        </w:rPr>
        <w:t>The Death Penalty for Drug Offences: Global Overview 2015.</w:t>
      </w:r>
      <w:r w:rsidRPr="001C5D05">
        <w:t xml:space="preserve"> London: Harm Reduction International. </w:t>
      </w:r>
    </w:p>
    <w:p w14:paraId="2E41A1D5" w14:textId="77777777" w:rsidR="009F4ABA" w:rsidRPr="001C5D05" w:rsidRDefault="009F4ABA" w:rsidP="007B4618">
      <w:pPr>
        <w:spacing w:line="480" w:lineRule="auto"/>
        <w:ind w:left="720" w:hanging="720"/>
      </w:pPr>
      <w:r w:rsidRPr="001C5D05">
        <w:t xml:space="preserve">Garde-Hansen, J. and Gorton, K. (2013) </w:t>
      </w:r>
      <w:r w:rsidRPr="001C5D05">
        <w:rPr>
          <w:i/>
        </w:rPr>
        <w:t>Emotions Online: Theorizing Affect on the Internet</w:t>
      </w:r>
      <w:r w:rsidRPr="001C5D05">
        <w:t>. Basingstoke: Palgrave.</w:t>
      </w:r>
    </w:p>
    <w:p w14:paraId="26EA2CB7" w14:textId="77777777" w:rsidR="009F4ABA" w:rsidRPr="001C5D05" w:rsidRDefault="009F4ABA" w:rsidP="007B4618">
      <w:pPr>
        <w:spacing w:line="480" w:lineRule="auto"/>
        <w:ind w:left="720" w:hanging="720"/>
      </w:pPr>
      <w:r w:rsidRPr="001C5D05">
        <w:t xml:space="preserve">Giacomello, C. (2013) </w:t>
      </w:r>
      <w:r w:rsidRPr="001C5D05">
        <w:rPr>
          <w:i/>
          <w:iCs/>
        </w:rPr>
        <w:t>Women, drug offenses and penitentiary systems in Latin America</w:t>
      </w:r>
      <w:r w:rsidRPr="001C5D05">
        <w:t xml:space="preserve">. London: International Drug Policy Consortium. </w:t>
      </w:r>
    </w:p>
    <w:p w14:paraId="00C23523" w14:textId="77777777" w:rsidR="009F4ABA" w:rsidRPr="001C5D05" w:rsidRDefault="009F4ABA" w:rsidP="007B4618">
      <w:pPr>
        <w:spacing w:line="480" w:lineRule="auto"/>
        <w:ind w:left="720" w:hanging="720"/>
      </w:pPr>
      <w:r w:rsidRPr="001C5D05">
        <w:t xml:space="preserve">Gies, L. (2011) ‘A Villains’ Charter? The Press and the Human Rights Act’, </w:t>
      </w:r>
      <w:r w:rsidRPr="001C5D05">
        <w:rPr>
          <w:i/>
        </w:rPr>
        <w:t>Crime, Media, Culture</w:t>
      </w:r>
      <w:r w:rsidRPr="001C5D05">
        <w:t>, 7(2): 167-183.</w:t>
      </w:r>
    </w:p>
    <w:p w14:paraId="357D2C39" w14:textId="77777777" w:rsidR="009F4ABA" w:rsidRPr="001C5D05" w:rsidRDefault="009F4ABA" w:rsidP="007B4618">
      <w:pPr>
        <w:spacing w:line="480" w:lineRule="auto"/>
        <w:ind w:left="720" w:hanging="720"/>
      </w:pPr>
      <w:r w:rsidRPr="001C5D05">
        <w:t xml:space="preserve">Girling, E. (2005) European Identity and the Mission Against the Death Penalty in the United States. In: A Sarat and C Boulanger (eds.) </w:t>
      </w:r>
      <w:r w:rsidRPr="001C5D05">
        <w:rPr>
          <w:i/>
        </w:rPr>
        <w:t>The Cultural Lives of Capital Punishment</w:t>
      </w:r>
      <w:r w:rsidRPr="001C5D05">
        <w:t>, Stanford: Stanford University Press, pp.112-128.</w:t>
      </w:r>
    </w:p>
    <w:p w14:paraId="1E165C81" w14:textId="77777777" w:rsidR="009F4ABA" w:rsidRPr="001C5D05" w:rsidRDefault="009F4ABA" w:rsidP="007B4618">
      <w:pPr>
        <w:spacing w:line="480" w:lineRule="auto"/>
        <w:ind w:left="720" w:hanging="720"/>
      </w:pPr>
      <w:r w:rsidRPr="001C5D05">
        <w:t xml:space="preserve">Gottwald, M. (2006) ‘Asylum Claims and Drug Offences: The Seriousness Threshold of Article 1F(B) of the 1951 Convention Relating to the Status of Refugees and the UN Drug Conventions’, </w:t>
      </w:r>
      <w:r w:rsidRPr="001C5D05">
        <w:rPr>
          <w:i/>
          <w:iCs/>
        </w:rPr>
        <w:t>International Journal of Refugee Law</w:t>
      </w:r>
      <w:r w:rsidRPr="001C5D05">
        <w:t>, 16: 81–117.</w:t>
      </w:r>
    </w:p>
    <w:p w14:paraId="5AE77EFA" w14:textId="77777777" w:rsidR="009F4ABA" w:rsidRPr="001C5D05" w:rsidRDefault="009F4ABA" w:rsidP="007B4618">
      <w:pPr>
        <w:spacing w:line="480" w:lineRule="auto"/>
        <w:ind w:left="720" w:hanging="720"/>
      </w:pPr>
      <w:r w:rsidRPr="001C5D05">
        <w:t xml:space="preserve">Green, P. (1998) </w:t>
      </w:r>
      <w:r w:rsidRPr="001C5D05">
        <w:rPr>
          <w:i/>
        </w:rPr>
        <w:t>Drugs, Trafficking and Criminal Policy: The Scapegoat Strategy</w:t>
      </w:r>
      <w:r w:rsidRPr="001C5D05">
        <w:t>, Winchester: Waterside Press.</w:t>
      </w:r>
    </w:p>
    <w:p w14:paraId="7DFF2CE9" w14:textId="77777777" w:rsidR="009F4ABA" w:rsidRPr="001C5D05" w:rsidRDefault="009F4ABA" w:rsidP="007B4618">
      <w:pPr>
        <w:spacing w:line="480" w:lineRule="auto"/>
        <w:ind w:left="720" w:hanging="720"/>
        <w:rPr>
          <w:rFonts w:eastAsia="Times New Roman" w:cs="Times New Roman"/>
        </w:rPr>
      </w:pPr>
      <w:r w:rsidRPr="001C5D05">
        <w:rPr>
          <w:rFonts w:eastAsia="Times New Roman" w:cs="Times New Roman"/>
        </w:rPr>
        <w:t xml:space="preserve">Haines, H. H. (2006) ‘Dangerous Issues and Public Identities: The Negotiation of Controversy in Two Movement Organizations’, </w:t>
      </w:r>
      <w:r w:rsidRPr="001C5D05">
        <w:rPr>
          <w:rFonts w:eastAsia="Times New Roman" w:cs="Times New Roman"/>
          <w:i/>
        </w:rPr>
        <w:t>Sociological Inquiry</w:t>
      </w:r>
      <w:r w:rsidRPr="001C5D05">
        <w:rPr>
          <w:rFonts w:eastAsia="Times New Roman" w:cs="Times New Roman"/>
        </w:rPr>
        <w:t>, 76(2): 231-263.</w:t>
      </w:r>
    </w:p>
    <w:p w14:paraId="416ADCA8" w14:textId="77777777" w:rsidR="009F4ABA" w:rsidRPr="001C5D05" w:rsidRDefault="009F4ABA" w:rsidP="007B4618">
      <w:pPr>
        <w:spacing w:line="480" w:lineRule="auto"/>
        <w:ind w:left="720" w:hanging="720"/>
        <w:rPr>
          <w:rFonts w:eastAsia="Times New Roman" w:cs="Times New Roman"/>
          <w:lang w:val="sv-SE"/>
        </w:rPr>
      </w:pPr>
      <w:r w:rsidRPr="001C5D05">
        <w:rPr>
          <w:rFonts w:eastAsia="Times New Roman" w:cs="Times New Roman"/>
        </w:rPr>
        <w:lastRenderedPageBreak/>
        <w:t xml:space="preserve">Harcup, T. and O'Neill, D. (2016) ‘What's News? News Values Revisited (Again)’. </w:t>
      </w:r>
      <w:r w:rsidRPr="001C5D05">
        <w:rPr>
          <w:rFonts w:eastAsia="Times New Roman" w:cs="Times New Roman"/>
          <w:i/>
          <w:lang w:val="sv-SE"/>
        </w:rPr>
        <w:t>Journalism Studies</w:t>
      </w:r>
      <w:r w:rsidRPr="001C5D05">
        <w:rPr>
          <w:rFonts w:eastAsia="Times New Roman" w:cs="Times New Roman"/>
          <w:lang w:val="sv-SE"/>
        </w:rPr>
        <w:t xml:space="preserve">: doi/full/10.1080/1461670X.2016.1150193 </w:t>
      </w:r>
    </w:p>
    <w:p w14:paraId="3B9FF62B" w14:textId="77777777" w:rsidR="009F4ABA" w:rsidRPr="001C5D05" w:rsidRDefault="009F4ABA" w:rsidP="007B4618">
      <w:pPr>
        <w:spacing w:line="480" w:lineRule="auto"/>
        <w:ind w:left="720" w:hanging="720"/>
      </w:pPr>
      <w:r w:rsidRPr="001C5D05">
        <w:rPr>
          <w:lang w:val="sv-SE"/>
        </w:rPr>
        <w:t>Harper, L, R., Harper, G. C., &amp; Stockdale, J. E. (2000) ’</w:t>
      </w:r>
      <w:r w:rsidRPr="001C5D05">
        <w:t xml:space="preserve">The Role and Sentencing of Women in Drug Trafficking Crime’, </w:t>
      </w:r>
      <w:r w:rsidRPr="001C5D05">
        <w:rPr>
          <w:i/>
        </w:rPr>
        <w:t>Legal and Criminological Psychology</w:t>
      </w:r>
      <w:r w:rsidRPr="001C5D05">
        <w:t xml:space="preserve">, 7(1): 101-114. </w:t>
      </w:r>
    </w:p>
    <w:p w14:paraId="02B3A0FF" w14:textId="77777777" w:rsidR="009F4ABA" w:rsidRPr="001C5D05" w:rsidRDefault="009F4ABA" w:rsidP="007B4618">
      <w:pPr>
        <w:spacing w:line="480" w:lineRule="auto"/>
        <w:ind w:left="720" w:hanging="720"/>
        <w:rPr>
          <w:rFonts w:eastAsia="Times New Roman" w:cs="Times New Roman"/>
        </w:rPr>
      </w:pPr>
      <w:r w:rsidRPr="001C5D05">
        <w:rPr>
          <w:rFonts w:eastAsia="Times New Roman" w:cs="Times New Roman"/>
        </w:rPr>
        <w:t xml:space="preserve">Heberle, R. (1999) ‘Disciplining Gender, or, Are Women Getting Away with Murder?’ </w:t>
      </w:r>
      <w:r w:rsidRPr="001C5D05">
        <w:rPr>
          <w:rFonts w:eastAsia="Times New Roman" w:cs="Times New Roman"/>
          <w:i/>
        </w:rPr>
        <w:t>Signs</w:t>
      </w:r>
      <w:r w:rsidRPr="001C5D05">
        <w:rPr>
          <w:rFonts w:eastAsia="Times New Roman" w:cs="Times New Roman"/>
        </w:rPr>
        <w:t>, 24(4): 1103-1112.</w:t>
      </w:r>
    </w:p>
    <w:p w14:paraId="40341427" w14:textId="77777777" w:rsidR="009F4ABA" w:rsidRPr="001C5D05" w:rsidRDefault="009F4ABA" w:rsidP="007B4618">
      <w:pPr>
        <w:spacing w:line="480" w:lineRule="auto"/>
        <w:ind w:left="720" w:hanging="720"/>
        <w:rPr>
          <w:rFonts w:eastAsia="Times New Roman" w:cs="Times New Roman"/>
        </w:rPr>
      </w:pPr>
      <w:r w:rsidRPr="001C5D05">
        <w:rPr>
          <w:rFonts w:eastAsia="Times New Roman" w:cs="Times New Roman"/>
        </w:rPr>
        <w:t xml:space="preserve">Heffer, S (2013a) Save your tears, Mail Online, 25 January. </w:t>
      </w:r>
    </w:p>
    <w:p w14:paraId="28F5FAE2" w14:textId="77777777" w:rsidR="009F4ABA" w:rsidRPr="001C5D05" w:rsidRDefault="009F4ABA" w:rsidP="007B4618">
      <w:pPr>
        <w:spacing w:line="480" w:lineRule="auto"/>
        <w:ind w:left="720" w:hanging="720"/>
        <w:rPr>
          <w:rFonts w:eastAsia="Times New Roman" w:cs="Times New Roman"/>
        </w:rPr>
      </w:pPr>
      <w:r w:rsidRPr="001C5D05">
        <w:rPr>
          <w:rFonts w:eastAsia="Times New Roman" w:cs="Times New Roman"/>
        </w:rPr>
        <w:t>Heffer, S (2013b) This youth post madness, Mail Online, 12 April.</w:t>
      </w:r>
    </w:p>
    <w:p w14:paraId="7FA66AFE" w14:textId="77777777" w:rsidR="009F4ABA" w:rsidRPr="001C5D05" w:rsidRDefault="009F4ABA" w:rsidP="007B4618">
      <w:pPr>
        <w:spacing w:line="480" w:lineRule="auto"/>
        <w:ind w:left="720" w:hanging="720"/>
        <w:rPr>
          <w:rFonts w:eastAsia="Times New Roman" w:cs="Times New Roman"/>
        </w:rPr>
      </w:pPr>
      <w:r w:rsidRPr="001C5D05">
        <w:rPr>
          <w:rFonts w:eastAsia="Times New Roman" w:cs="Times New Roman"/>
        </w:rPr>
        <w:t xml:space="preserve">Hitchens, P. (2012) Of Course Hanging Won't End all Murders - But it Will Make Criminals Afraid to Carry Guns, Mail Online, 22 September. </w:t>
      </w:r>
    </w:p>
    <w:p w14:paraId="2E6389A3" w14:textId="77777777" w:rsidR="009F4ABA" w:rsidRPr="001C5D05" w:rsidRDefault="009F4ABA" w:rsidP="007B4618">
      <w:pPr>
        <w:spacing w:line="480" w:lineRule="auto"/>
        <w:ind w:left="720" w:hanging="720"/>
      </w:pPr>
      <w:r w:rsidRPr="001C5D05">
        <w:t xml:space="preserve">Holmes, O. (2016) Tragic story of death-row maid caught up in Asia’s war on drugs, </w:t>
      </w:r>
      <w:r w:rsidRPr="001C5D05">
        <w:rPr>
          <w:i/>
        </w:rPr>
        <w:t xml:space="preserve">The Guardian, </w:t>
      </w:r>
      <w:r w:rsidRPr="001C5D05">
        <w:t>September 17.</w:t>
      </w:r>
      <w:r w:rsidRPr="001C5D05">
        <w:rPr>
          <w:i/>
        </w:rPr>
        <w:t xml:space="preserve"> </w:t>
      </w:r>
    </w:p>
    <w:p w14:paraId="3BA3F354" w14:textId="77777777" w:rsidR="009F4ABA" w:rsidRPr="001C5D05" w:rsidRDefault="009F4ABA" w:rsidP="007B4618">
      <w:pPr>
        <w:spacing w:line="480" w:lineRule="auto"/>
        <w:ind w:left="720" w:hanging="720"/>
        <w:rPr>
          <w:rFonts w:eastAsia="Times New Roman" w:cs="Times New Roman"/>
        </w:rPr>
      </w:pPr>
      <w:r w:rsidRPr="001C5D05">
        <w:rPr>
          <w:rFonts w:eastAsia="Times New Roman" w:cs="Times New Roman"/>
        </w:rPr>
        <w:t xml:space="preserve">Hood, R., &amp; Hoyle, C. (2015) </w:t>
      </w:r>
      <w:r w:rsidRPr="001C5D05">
        <w:rPr>
          <w:rFonts w:eastAsia="Times New Roman" w:cs="Times New Roman"/>
          <w:i/>
          <w:iCs/>
        </w:rPr>
        <w:t>The death penalty: A worldwide perspective</w:t>
      </w:r>
      <w:r w:rsidRPr="001C5D05">
        <w:rPr>
          <w:rFonts w:eastAsia="Times New Roman" w:cs="Times New Roman"/>
        </w:rPr>
        <w:t>. Oxford: Oxford University Press.</w:t>
      </w:r>
    </w:p>
    <w:p w14:paraId="1BBAB170" w14:textId="77777777" w:rsidR="009F4ABA" w:rsidRPr="001C5D05" w:rsidRDefault="009F4ABA" w:rsidP="007B4618">
      <w:pPr>
        <w:spacing w:line="480" w:lineRule="auto"/>
        <w:ind w:left="720" w:hanging="720"/>
      </w:pPr>
      <w:r w:rsidRPr="001C5D05">
        <w:t xml:space="preserve">Hoyle, C. (2015) Remembering Women Sentenced to Death. Centre for Criminology Blog: </w:t>
      </w:r>
      <w:hyperlink r:id="rId11">
        <w:r w:rsidRPr="001C5D05">
          <w:rPr>
            <w:rStyle w:val="Hyperlink"/>
            <w:color w:val="auto"/>
            <w:u w:val="none"/>
          </w:rPr>
          <w:t>https://www.law.ox.ac.uk/centres-institutes/centre-criminology/blog/2015/04/remembering-women-sentenced-death</w:t>
        </w:r>
      </w:hyperlink>
      <w:r w:rsidRPr="001C5D05">
        <w:t>, 13 April. Accessed 18 April 2017.</w:t>
      </w:r>
    </w:p>
    <w:p w14:paraId="6435D9F2" w14:textId="77777777" w:rsidR="009F4ABA" w:rsidRPr="001C5D05" w:rsidRDefault="009F4ABA" w:rsidP="007B4618">
      <w:pPr>
        <w:spacing w:line="480" w:lineRule="auto"/>
        <w:ind w:left="720" w:hanging="720"/>
      </w:pPr>
      <w:r w:rsidRPr="001C5D05">
        <w:t xml:space="preserve">Huling, T. (1996) ‘Prisoners of War: Drug couriers in the United States’. In P. Green, </w:t>
      </w:r>
      <w:r w:rsidRPr="001C5D05">
        <w:rPr>
          <w:i/>
          <w:iCs/>
        </w:rPr>
        <w:t>Drug couriers: a new perspective,</w:t>
      </w:r>
      <w:r w:rsidRPr="001C5D05">
        <w:t xml:space="preserve"> London: Quartet.</w:t>
      </w:r>
    </w:p>
    <w:p w14:paraId="00F704F7" w14:textId="77777777" w:rsidR="009F4ABA" w:rsidRPr="001C5D05" w:rsidRDefault="009F4ABA" w:rsidP="007B4618">
      <w:pPr>
        <w:spacing w:line="480" w:lineRule="auto"/>
        <w:ind w:left="720" w:hanging="720"/>
      </w:pPr>
      <w:r w:rsidRPr="001C5D05">
        <w:t xml:space="preserve">Human Rights Commission of Pakistan (n.d.) Stats (searchable database) </w:t>
      </w:r>
      <w:hyperlink r:id="rId12" w:history="1">
        <w:r w:rsidRPr="001C5D05">
          <w:rPr>
            <w:rStyle w:val="Hyperlink"/>
            <w:color w:val="auto"/>
          </w:rPr>
          <w:t>http://hrcp-web.org/hrcpweb/campaigns/</w:t>
        </w:r>
      </w:hyperlink>
      <w:r w:rsidRPr="001C5D05">
        <w:t xml:space="preserve"> </w:t>
      </w:r>
    </w:p>
    <w:p w14:paraId="1F86285C" w14:textId="5B100D2F" w:rsidR="009F4ABA" w:rsidRPr="001C5D05" w:rsidRDefault="009F4ABA" w:rsidP="007B4618">
      <w:pPr>
        <w:spacing w:line="480" w:lineRule="auto"/>
        <w:ind w:left="720" w:hanging="720"/>
      </w:pPr>
      <w:r w:rsidRPr="001C5D05">
        <w:t xml:space="preserve">Human Rights Watch (2014) </w:t>
      </w:r>
      <w:r w:rsidRPr="001C5D05">
        <w:rPr>
          <w:i/>
        </w:rPr>
        <w:t>World Report 2014</w:t>
      </w:r>
      <w:r w:rsidR="00843A0D" w:rsidRPr="001C5D05">
        <w:t xml:space="preserve">. New York: Human Rights Watch. </w:t>
      </w:r>
    </w:p>
    <w:p w14:paraId="78C726D7" w14:textId="5E01867F" w:rsidR="009F4ABA" w:rsidRPr="001C5D05" w:rsidRDefault="009F4ABA" w:rsidP="007B4618">
      <w:pPr>
        <w:spacing w:line="480" w:lineRule="auto"/>
        <w:ind w:left="720" w:hanging="720"/>
      </w:pPr>
      <w:r w:rsidRPr="001C5D05">
        <w:t>Human Rights Watch (2017) “License to Kill”: Philippine Police Killings in Duterte’s “War on Drugs”, March 1</w:t>
      </w:r>
      <w:r w:rsidRPr="001C5D05">
        <w:rPr>
          <w:vertAlign w:val="superscript"/>
        </w:rPr>
        <w:t>st</w:t>
      </w:r>
      <w:r w:rsidRPr="001C5D05">
        <w:t xml:space="preserve">, </w:t>
      </w:r>
      <w:r w:rsidR="00843A0D" w:rsidRPr="001C5D05">
        <w:t>New York: Human Rights Watch.</w:t>
      </w:r>
    </w:p>
    <w:p w14:paraId="0B29EE26" w14:textId="77777777" w:rsidR="009F4ABA" w:rsidRPr="001C5D05" w:rsidRDefault="009F4ABA" w:rsidP="007B4618">
      <w:pPr>
        <w:spacing w:line="480" w:lineRule="auto"/>
        <w:ind w:left="720" w:hanging="720"/>
      </w:pPr>
      <w:r w:rsidRPr="001C5D05">
        <w:lastRenderedPageBreak/>
        <w:t xml:space="preserve">Iakobishvili, E. (2012) </w:t>
      </w:r>
      <w:r w:rsidRPr="001C5D05">
        <w:rPr>
          <w:i/>
          <w:iCs/>
        </w:rPr>
        <w:t>Cause for Alarm: The incarceration of women for drug offences in Europe, Central Asia and the need for legislative and sentencing reform</w:t>
      </w:r>
      <w:r w:rsidRPr="001C5D05">
        <w:t xml:space="preserve">. London: Harm Reduction Association. </w:t>
      </w:r>
    </w:p>
    <w:p w14:paraId="62A1D030" w14:textId="77777777" w:rsidR="009F4ABA" w:rsidRPr="001C5D05" w:rsidRDefault="009F4ABA" w:rsidP="007B4618">
      <w:pPr>
        <w:spacing w:line="480" w:lineRule="auto"/>
        <w:ind w:left="720" w:hanging="720"/>
      </w:pPr>
      <w:r w:rsidRPr="001C5D05">
        <w:t xml:space="preserve">International Campaign for Human Rights in Iraq (2016) ‘More Than 150 Members of Iran’s Parliament Call for Ending Execution of Petty Drug Traffickers’, </w:t>
      </w:r>
      <w:hyperlink r:id="rId13">
        <w:r w:rsidRPr="001C5D05">
          <w:rPr>
            <w:rStyle w:val="Hyperlink"/>
            <w:color w:val="auto"/>
          </w:rPr>
          <w:t>https://www.iranhumanrights.org/2016/10/executions-larijani/</w:t>
        </w:r>
      </w:hyperlink>
      <w:r w:rsidRPr="001C5D05">
        <w:t xml:space="preserve"> </w:t>
      </w:r>
    </w:p>
    <w:p w14:paraId="74BCBDF7" w14:textId="77777777" w:rsidR="009F4ABA" w:rsidRPr="001C5D05" w:rsidRDefault="009F4ABA" w:rsidP="007B4618">
      <w:pPr>
        <w:spacing w:line="480" w:lineRule="auto"/>
        <w:ind w:left="720" w:hanging="720"/>
        <w:rPr>
          <w:bCs/>
        </w:rPr>
      </w:pPr>
      <w:r w:rsidRPr="001C5D05">
        <w:t xml:space="preserve">Iran Human Rights (2015) </w:t>
      </w:r>
      <w:r w:rsidRPr="001C5D05">
        <w:rPr>
          <w:i/>
          <w:iCs/>
        </w:rPr>
        <w:t>Deadly Injustice: A look at Iran’s execution of 3344 executions since 2011</w:t>
      </w:r>
      <w:r w:rsidRPr="001C5D05">
        <w:t xml:space="preserve">, </w:t>
      </w:r>
      <w:hyperlink r:id="rId14" w:history="1">
        <w:r w:rsidRPr="001C5D05">
          <w:rPr>
            <w:rStyle w:val="Hyperlink"/>
            <w:color w:val="auto"/>
          </w:rPr>
          <w:t>https://iranhr.net/en/reports/15/</w:t>
        </w:r>
      </w:hyperlink>
      <w:r w:rsidRPr="001C5D05">
        <w:t xml:space="preserve"> </w:t>
      </w:r>
    </w:p>
    <w:p w14:paraId="07D0A897" w14:textId="77777777" w:rsidR="009F4ABA" w:rsidRPr="001C5D05" w:rsidRDefault="009F4ABA" w:rsidP="007B4618">
      <w:pPr>
        <w:spacing w:line="480" w:lineRule="auto"/>
        <w:ind w:left="720" w:hanging="720"/>
        <w:rPr>
          <w:bCs/>
        </w:rPr>
      </w:pPr>
      <w:r w:rsidRPr="001C5D05">
        <w:t xml:space="preserve">Iran Human Rights (n.d) 2011 Annual Report: 3 Times More Public Executions, </w:t>
      </w:r>
      <w:hyperlink r:id="rId15">
        <w:r w:rsidRPr="001C5D05">
          <w:rPr>
            <w:rStyle w:val="Hyperlink"/>
            <w:color w:val="auto"/>
          </w:rPr>
          <w:t>https://iranhr.net/en/reports/9/</w:t>
        </w:r>
      </w:hyperlink>
    </w:p>
    <w:p w14:paraId="6AE06612" w14:textId="77777777" w:rsidR="009F4ABA" w:rsidRPr="001C5D05" w:rsidRDefault="009F4ABA" w:rsidP="007B4618">
      <w:pPr>
        <w:spacing w:line="480" w:lineRule="auto"/>
        <w:ind w:left="720" w:hanging="720"/>
      </w:pPr>
      <w:r w:rsidRPr="001C5D05">
        <w:t xml:space="preserve">Jabour, B. (2015) ‘Joko Widodo defends death penalty as 'positive' for Indonesia’ </w:t>
      </w:r>
      <w:r w:rsidRPr="001C5D05">
        <w:rPr>
          <w:i/>
        </w:rPr>
        <w:t>The Guardian,</w:t>
      </w:r>
      <w:r w:rsidRPr="001C5D05">
        <w:t xml:space="preserve"> May 10. </w:t>
      </w:r>
    </w:p>
    <w:p w14:paraId="3DB8A9BD" w14:textId="77777777" w:rsidR="009F4ABA" w:rsidRPr="001C5D05" w:rsidRDefault="009F4ABA" w:rsidP="007B4618">
      <w:pPr>
        <w:spacing w:line="480" w:lineRule="auto"/>
        <w:ind w:left="720" w:hanging="720"/>
      </w:pPr>
      <w:r w:rsidRPr="001C5D05">
        <w:t xml:space="preserve">Johnson, D. T. (2010) ‘Asia's Declining Death Penalty’, </w:t>
      </w:r>
      <w:r w:rsidRPr="001C5D05">
        <w:rPr>
          <w:i/>
        </w:rPr>
        <w:t>Journal of Asian Studies</w:t>
      </w:r>
      <w:r w:rsidRPr="001C5D05">
        <w:t>, 69(2): 337-346.</w:t>
      </w:r>
    </w:p>
    <w:p w14:paraId="70549265" w14:textId="2D4066C3" w:rsidR="009F4ABA" w:rsidRPr="001C5D05" w:rsidRDefault="009F4ABA" w:rsidP="007B4618">
      <w:pPr>
        <w:spacing w:line="480" w:lineRule="auto"/>
        <w:ind w:left="720" w:hanging="720"/>
      </w:pPr>
      <w:r w:rsidRPr="001C5D05">
        <w:t>Johnson, S</w:t>
      </w:r>
      <w:r w:rsidR="00843A0D" w:rsidRPr="001C5D05">
        <w:t>’</w:t>
      </w:r>
      <w:r w:rsidRPr="001C5D05">
        <w:t xml:space="preserve"> (2013) British grandmother facing firing squad in Bali for smuggling cocaine to lodge appeal against death sentence, Mail Online, 28 January.</w:t>
      </w:r>
    </w:p>
    <w:p w14:paraId="77812B9E" w14:textId="77777777" w:rsidR="009F4ABA" w:rsidRPr="001C5D05" w:rsidRDefault="009F4ABA" w:rsidP="007B4618">
      <w:pPr>
        <w:spacing w:line="480" w:lineRule="auto"/>
        <w:ind w:left="720" w:hanging="720"/>
      </w:pPr>
      <w:r w:rsidRPr="001C5D05">
        <w:t xml:space="preserve">Jones, P. J. and Wardle, C. (2008) ‘"No Emotion, No Sympathy": The Visual Construction of Maxine Carr’, </w:t>
      </w:r>
      <w:r w:rsidRPr="001C5D05">
        <w:rPr>
          <w:i/>
        </w:rPr>
        <w:t>Crime, Media, Culture</w:t>
      </w:r>
      <w:r w:rsidRPr="001C5D05">
        <w:t>, 4(1): 53-71.</w:t>
      </w:r>
    </w:p>
    <w:p w14:paraId="31734136" w14:textId="77777777" w:rsidR="009F4ABA" w:rsidRPr="001C5D05" w:rsidRDefault="009F4ABA" w:rsidP="007B4618">
      <w:pPr>
        <w:spacing w:line="480" w:lineRule="auto"/>
        <w:ind w:left="720" w:hanging="720"/>
      </w:pPr>
      <w:r w:rsidRPr="001C5D05">
        <w:t xml:space="preserve">Kaufman-Osborn, T. (2002) </w:t>
      </w:r>
      <w:r w:rsidRPr="001C5D05">
        <w:rPr>
          <w:i/>
        </w:rPr>
        <w:t>From Noose to Needle</w:t>
      </w:r>
      <w:r w:rsidRPr="001C5D05">
        <w:t>. Ann Arbor: University of Michigan Press.</w:t>
      </w:r>
    </w:p>
    <w:p w14:paraId="2D99955A" w14:textId="77777777" w:rsidR="009F4ABA" w:rsidRPr="001C5D05" w:rsidRDefault="009F4ABA" w:rsidP="007B4618">
      <w:pPr>
        <w:pStyle w:val="CommentText"/>
        <w:spacing w:line="480" w:lineRule="auto"/>
        <w:ind w:left="720" w:hanging="720"/>
      </w:pPr>
      <w:r w:rsidRPr="001C5D05">
        <w:t xml:space="preserve"> Lamb, K. (2016) Indonesia kills four prisoners in first executions in a year’ </w:t>
      </w:r>
      <w:r w:rsidRPr="001C5D05">
        <w:rPr>
          <w:i/>
        </w:rPr>
        <w:t>The Guardian</w:t>
      </w:r>
      <w:r w:rsidRPr="001C5D05">
        <w:t xml:space="preserve">, July 29. </w:t>
      </w:r>
    </w:p>
    <w:p w14:paraId="78036446" w14:textId="77777777" w:rsidR="009F4ABA" w:rsidRPr="001C5D05" w:rsidRDefault="009F4ABA" w:rsidP="007B4618">
      <w:pPr>
        <w:spacing w:line="480" w:lineRule="auto"/>
        <w:ind w:left="720" w:hanging="720"/>
      </w:pPr>
      <w:r w:rsidRPr="001C5D05">
        <w:t xml:space="preserve">Lambert, A. (2008) ‘Mediating Crime, Mediating Culture: Nationality, Femininity, Corporeality and Territory in the Schapelle Corby Drugs Case’, </w:t>
      </w:r>
      <w:r w:rsidRPr="001C5D05">
        <w:rPr>
          <w:i/>
        </w:rPr>
        <w:t>Crime, Media, Culture</w:t>
      </w:r>
      <w:r w:rsidRPr="001C5D05">
        <w:t>, 4(2): 237-255.</w:t>
      </w:r>
    </w:p>
    <w:p w14:paraId="352AD5AE" w14:textId="77777777" w:rsidR="009F4ABA" w:rsidRPr="001C5D05" w:rsidRDefault="009F4ABA" w:rsidP="007B4618">
      <w:pPr>
        <w:spacing w:line="480" w:lineRule="auto"/>
        <w:ind w:left="720" w:hanging="720"/>
        <w:rPr>
          <w:bCs/>
        </w:rPr>
      </w:pPr>
      <w:r w:rsidRPr="001C5D05">
        <w:lastRenderedPageBreak/>
        <w:t xml:space="preserve">Lynch, M. (2000) ‘On-line Executions: The Symbolic Use of the Electric Chair in Cyberspace’. </w:t>
      </w:r>
      <w:r w:rsidRPr="001C5D05">
        <w:rPr>
          <w:i/>
        </w:rPr>
        <w:t>PoLAR</w:t>
      </w:r>
      <w:r w:rsidRPr="001C5D05">
        <w:t>, 23(2): 1-20.</w:t>
      </w:r>
    </w:p>
    <w:p w14:paraId="47543E9D" w14:textId="77777777" w:rsidR="009F4ABA" w:rsidRPr="001C5D05" w:rsidRDefault="009F4ABA" w:rsidP="007B4618">
      <w:pPr>
        <w:spacing w:line="480" w:lineRule="auto"/>
        <w:ind w:left="720" w:hanging="720"/>
      </w:pPr>
      <w:r w:rsidRPr="001C5D05">
        <w:t xml:space="preserve">Maidment, M. R. (2006) </w:t>
      </w:r>
      <w:r w:rsidRPr="001C5D05">
        <w:rPr>
          <w:i/>
        </w:rPr>
        <w:t>Doing Time on the Outside: Deconstructing the Benevolent Community</w:t>
      </w:r>
      <w:r w:rsidRPr="001C5D05">
        <w:t>, Toronto: University of Toronto Press.</w:t>
      </w:r>
    </w:p>
    <w:p w14:paraId="05F2F50A" w14:textId="6389E159" w:rsidR="009F4ABA" w:rsidRPr="001C5D05" w:rsidRDefault="009F4ABA" w:rsidP="007B4618">
      <w:pPr>
        <w:spacing w:line="480" w:lineRule="auto"/>
        <w:ind w:left="720" w:hanging="720"/>
      </w:pPr>
      <w:r w:rsidRPr="001C5D05">
        <w:rPr>
          <w:lang w:val="pl-PL"/>
        </w:rPr>
        <w:t xml:space="preserve">Malinowska-Sempruch, K., &amp; Rychkova, O. (2015) </w:t>
      </w:r>
      <w:r w:rsidRPr="001C5D05">
        <w:rPr>
          <w:i/>
        </w:rPr>
        <w:t>The impact of drug policy on women</w:t>
      </w:r>
      <w:r w:rsidRPr="001C5D05">
        <w:t>. New York; Open Society Foundation</w:t>
      </w:r>
      <w:r w:rsidR="00843A0D" w:rsidRPr="001C5D05">
        <w:t xml:space="preserve">. </w:t>
      </w:r>
    </w:p>
    <w:p w14:paraId="54AF389A" w14:textId="77777777" w:rsidR="009F4ABA" w:rsidRPr="001C5D05" w:rsidRDefault="009F4ABA" w:rsidP="007B4618">
      <w:pPr>
        <w:spacing w:line="480" w:lineRule="auto"/>
        <w:ind w:left="720" w:hanging="720"/>
      </w:pPr>
      <w:r w:rsidRPr="001C5D05">
        <w:t xml:space="preserve">Malloch, M. and McIvor, G. (2013) </w:t>
      </w:r>
      <w:r w:rsidRPr="001C5D05">
        <w:rPr>
          <w:i/>
        </w:rPr>
        <w:t>Women, Punishment and Social Justice: Human Rights and Penal Practices</w:t>
      </w:r>
      <w:r w:rsidRPr="001C5D05">
        <w:t>, London: Routledge.</w:t>
      </w:r>
    </w:p>
    <w:p w14:paraId="611B6015" w14:textId="77777777" w:rsidR="009F4ABA" w:rsidRPr="001C5D05" w:rsidRDefault="009F4ABA" w:rsidP="007B4618">
      <w:pPr>
        <w:spacing w:line="480" w:lineRule="auto"/>
        <w:ind w:left="720" w:hanging="720"/>
      </w:pPr>
      <w:r w:rsidRPr="001C5D05">
        <w:t xml:space="preserve">Mance, H. (2016) UK Newspapers: Rewriting the Story, Financial Times, 9 February. </w:t>
      </w:r>
    </w:p>
    <w:p w14:paraId="7241F44C" w14:textId="77777777" w:rsidR="009F4ABA" w:rsidRPr="001C5D05" w:rsidRDefault="009F4ABA" w:rsidP="007B4618">
      <w:pPr>
        <w:spacing w:line="480" w:lineRule="auto"/>
        <w:ind w:left="720" w:hanging="720"/>
      </w:pPr>
      <w:r w:rsidRPr="001C5D05">
        <w:t xml:space="preserve">Martin, A and Shears, R (2012) The King and Queen of Bali, Mail Online, 30 May. </w:t>
      </w:r>
    </w:p>
    <w:p w14:paraId="6745EC50" w14:textId="77777777" w:rsidR="009F4ABA" w:rsidRPr="001C5D05" w:rsidRDefault="009F4ABA" w:rsidP="007B4618">
      <w:pPr>
        <w:spacing w:line="480" w:lineRule="auto"/>
        <w:ind w:left="720" w:hanging="720"/>
      </w:pPr>
      <w:r w:rsidRPr="001C5D05">
        <w:t xml:space="preserve">McLaughlin, E. (2005) ‘Recovering Blackness, Repudiating Whiteness’. In K. Murji and J. Solomos (eds.) </w:t>
      </w:r>
      <w:r w:rsidRPr="001C5D05">
        <w:rPr>
          <w:i/>
        </w:rPr>
        <w:t>Racialization: Studies in Theories and Practice</w:t>
      </w:r>
      <w:r w:rsidRPr="001C5D05">
        <w:t>, Oxford: Oxford University Press, pp.141-162.</w:t>
      </w:r>
    </w:p>
    <w:p w14:paraId="008797B3" w14:textId="77777777" w:rsidR="009F4ABA" w:rsidRPr="001C5D05" w:rsidRDefault="009F4ABA" w:rsidP="007B4618">
      <w:pPr>
        <w:spacing w:line="480" w:lineRule="auto"/>
        <w:ind w:left="720" w:hanging="720"/>
      </w:pPr>
      <w:r w:rsidRPr="001C5D05">
        <w:t xml:space="preserve">Metaal, P., &amp; Youngers, C. (eds.) (2011). </w:t>
      </w:r>
      <w:r w:rsidRPr="001C5D05">
        <w:rPr>
          <w:i/>
          <w:iCs/>
        </w:rPr>
        <w:t>Systems overload: drug laws and prisons in Latin America</w:t>
      </w:r>
      <w:r w:rsidRPr="001C5D05">
        <w:t>. Transnational Institute/Washington Office on Latin America.</w:t>
      </w:r>
    </w:p>
    <w:p w14:paraId="6CD3714F" w14:textId="77777777" w:rsidR="009F4ABA" w:rsidRPr="001C5D05" w:rsidRDefault="009F4ABA" w:rsidP="007B4618">
      <w:pPr>
        <w:spacing w:line="480" w:lineRule="auto"/>
        <w:ind w:left="720" w:hanging="720"/>
      </w:pPr>
      <w:r w:rsidRPr="001C5D05">
        <w:t xml:space="preserve">Middleweek, B. (2016) ‘Deviant Divas: Lindy Chamberlain and Schapelle Corby and the Case for a New Category of Female Celebrity for Criminally Implicated Women’. Crime, Media Culture, </w:t>
      </w:r>
      <w:r w:rsidRPr="001C5D05">
        <w:rPr>
          <w:rStyle w:val="slug-metadata-note"/>
        </w:rPr>
        <w:t>doi:</w:t>
      </w:r>
      <w:r w:rsidRPr="001C5D05">
        <w:rPr>
          <w:rStyle w:val="slug-doi"/>
        </w:rPr>
        <w:t xml:space="preserve">10.1177/1741659016646596 </w:t>
      </w:r>
    </w:p>
    <w:p w14:paraId="06AEE841" w14:textId="77777777" w:rsidR="009F4ABA" w:rsidRPr="001C5D05" w:rsidRDefault="009F4ABA" w:rsidP="007B4618">
      <w:pPr>
        <w:spacing w:line="480" w:lineRule="auto"/>
        <w:ind w:left="720" w:hanging="720"/>
      </w:pPr>
      <w:r w:rsidRPr="001C5D05">
        <w:t xml:space="preserve">Murwira, Z. (2016) Zim women on death row in China, </w:t>
      </w:r>
      <w:r w:rsidRPr="001C5D05">
        <w:rPr>
          <w:i/>
          <w:iCs/>
        </w:rPr>
        <w:t>The Herald</w:t>
      </w:r>
      <w:r w:rsidRPr="001C5D05">
        <w:t xml:space="preserve">, May 19. </w:t>
      </w:r>
    </w:p>
    <w:p w14:paraId="7F10AAB3" w14:textId="77777777" w:rsidR="009F4ABA" w:rsidRPr="001C5D05" w:rsidRDefault="009F4ABA" w:rsidP="007B4618">
      <w:pPr>
        <w:spacing w:line="480" w:lineRule="auto"/>
        <w:ind w:left="720" w:hanging="720"/>
      </w:pPr>
      <w:r w:rsidRPr="001C5D05">
        <w:t xml:space="preserve">Nacos, B. L. (2005) ‘The Portrayal of Female Terrorists in the Media: Similar Framing Patterns in the News Coverage of Women in Politics and in Terrorism’. </w:t>
      </w:r>
      <w:r w:rsidRPr="001C5D05">
        <w:rPr>
          <w:i/>
        </w:rPr>
        <w:t>Studies in Conflict and Terrorism</w:t>
      </w:r>
      <w:r w:rsidRPr="001C5D05">
        <w:t>, 28(5): 435-451.</w:t>
      </w:r>
    </w:p>
    <w:p w14:paraId="3D7191DC" w14:textId="77777777" w:rsidR="009F4ABA" w:rsidRPr="001C5D05" w:rsidRDefault="009F4ABA" w:rsidP="007B4618">
      <w:pPr>
        <w:spacing w:line="480" w:lineRule="auto"/>
        <w:ind w:left="720" w:hanging="720"/>
      </w:pPr>
      <w:r w:rsidRPr="001C5D05">
        <w:t xml:space="preserve">Naffine, N. (1997) </w:t>
      </w:r>
      <w:r w:rsidRPr="001C5D05">
        <w:rPr>
          <w:i/>
        </w:rPr>
        <w:t>Feminism and Criminology</w:t>
      </w:r>
      <w:r w:rsidRPr="001C5D05">
        <w:t>. Cambridge: Polity Press.</w:t>
      </w:r>
    </w:p>
    <w:p w14:paraId="48F57013" w14:textId="77777777" w:rsidR="009F4ABA" w:rsidRPr="001C5D05" w:rsidRDefault="009F4ABA" w:rsidP="007B4618">
      <w:pPr>
        <w:spacing w:line="480" w:lineRule="auto"/>
        <w:ind w:left="720" w:hanging="720"/>
      </w:pPr>
      <w:r w:rsidRPr="001C5D05">
        <w:lastRenderedPageBreak/>
        <w:t xml:space="preserve">Novak, A. (2014) ‘The Future of the Mandatory Death Penalty in Malaysia and Singapore’, </w:t>
      </w:r>
      <w:r w:rsidRPr="001C5D05">
        <w:rPr>
          <w:i/>
        </w:rPr>
        <w:t>Indonesian Journal of International and Comparative Law</w:t>
      </w:r>
      <w:r w:rsidRPr="001C5D05">
        <w:t>, 1(1): 303-313.</w:t>
      </w:r>
    </w:p>
    <w:p w14:paraId="0AD969DD" w14:textId="77777777" w:rsidR="009F4ABA" w:rsidRPr="001C5D05" w:rsidRDefault="009F4ABA" w:rsidP="007B4618">
      <w:pPr>
        <w:spacing w:line="480" w:lineRule="auto"/>
        <w:ind w:left="720" w:hanging="720"/>
      </w:pPr>
      <w:r w:rsidRPr="001C5D05">
        <w:t xml:space="preserve">O’Neill, M. and Seal, L (2012) </w:t>
      </w:r>
      <w:r w:rsidRPr="001C5D05">
        <w:rPr>
          <w:i/>
        </w:rPr>
        <w:t>Transgressive Imaginations: Crime, Deviance and Culture,</w:t>
      </w:r>
      <w:r w:rsidRPr="001C5D05">
        <w:t xml:space="preserve"> Basingstoke: Palgrave.</w:t>
      </w:r>
    </w:p>
    <w:p w14:paraId="51BEF869" w14:textId="1D4CADC7" w:rsidR="009F4ABA" w:rsidRPr="001C5D05" w:rsidRDefault="009F4ABA" w:rsidP="007B4618">
      <w:pPr>
        <w:spacing w:line="480" w:lineRule="auto"/>
        <w:ind w:left="720" w:hanging="720"/>
      </w:pPr>
      <w:r w:rsidRPr="001C5D05">
        <w:t xml:space="preserve">Open Society Foundation (2016) ‘For women swept up in the drugs trade, legal help that starts early’, June 22, </w:t>
      </w:r>
      <w:r w:rsidR="00843A0D" w:rsidRPr="001C5D05">
        <w:t>London: Open Society Foundation.</w:t>
      </w:r>
    </w:p>
    <w:p w14:paraId="264CA5AB" w14:textId="77777777" w:rsidR="009F4ABA" w:rsidRPr="001C5D05" w:rsidRDefault="009F4ABA" w:rsidP="007B4618">
      <w:pPr>
        <w:spacing w:line="480" w:lineRule="auto"/>
        <w:ind w:left="720" w:hanging="720"/>
      </w:pPr>
      <w:r w:rsidRPr="001C5D05">
        <w:t>Parry, S. (2013a) They won’t execute me, says Bali’s Mr Big, Mail Online, 26 January.</w:t>
      </w:r>
    </w:p>
    <w:p w14:paraId="657C5C92" w14:textId="77777777" w:rsidR="009F4ABA" w:rsidRPr="001C5D05" w:rsidRDefault="009F4ABA" w:rsidP="007B4618">
      <w:pPr>
        <w:spacing w:line="480" w:lineRule="auto"/>
        <w:ind w:left="720" w:hanging="720"/>
      </w:pPr>
      <w:r w:rsidRPr="001C5D05">
        <w:t xml:space="preserve">Parry, S. (2013b) </w:t>
      </w:r>
      <w:r w:rsidRPr="001C5D05">
        <w:rPr>
          <w:rFonts w:eastAsia="Arial,Times New Roman" w:cs="Arial,Times New Roman"/>
        </w:rPr>
        <w:t>Firing squad granny in race against time to appeal after blunder by the Foreign Office, Mail Online, 2 February.</w:t>
      </w:r>
    </w:p>
    <w:p w14:paraId="6EF849DE" w14:textId="77777777" w:rsidR="009F4ABA" w:rsidRPr="001C5D05" w:rsidRDefault="009F4ABA" w:rsidP="007B4618">
      <w:pPr>
        <w:spacing w:line="480" w:lineRule="auto"/>
        <w:ind w:left="720" w:hanging="720"/>
        <w:rPr>
          <w:rFonts w:eastAsia="Arial" w:cs="Arial"/>
        </w:rPr>
      </w:pPr>
      <w:r w:rsidRPr="001C5D05">
        <w:t xml:space="preserve">Parry, S. (2013c) </w:t>
      </w:r>
      <w:r w:rsidRPr="001C5D05">
        <w:rPr>
          <w:rFonts w:eastAsia="Arial" w:cs="Arial"/>
        </w:rPr>
        <w:t xml:space="preserve">Death row Briton Lindsay Sandiford set to launch her appeal, Mail Online, 10 February. </w:t>
      </w:r>
    </w:p>
    <w:p w14:paraId="4636BB04" w14:textId="77777777" w:rsidR="009F4ABA" w:rsidRPr="001C5D05" w:rsidRDefault="009F4ABA" w:rsidP="007B4618">
      <w:pPr>
        <w:spacing w:line="480" w:lineRule="auto"/>
        <w:ind w:left="720" w:hanging="720"/>
      </w:pPr>
      <w:r w:rsidRPr="001C5D05">
        <w:t>Parry, S. (2013d) Bali death row Briton’s plea of ‘shoot me now’, Mail Online, 15 April.</w:t>
      </w:r>
    </w:p>
    <w:p w14:paraId="3CB15B8D" w14:textId="77777777" w:rsidR="009F4ABA" w:rsidRPr="001C5D05" w:rsidRDefault="009F4ABA" w:rsidP="007B4618">
      <w:pPr>
        <w:spacing w:line="480" w:lineRule="auto"/>
        <w:ind w:left="720" w:hanging="720"/>
        <w:rPr>
          <w:rFonts w:eastAsia="Arial,Times New Roman" w:cs="Arial,Times New Roman"/>
        </w:rPr>
      </w:pPr>
      <w:r w:rsidRPr="001C5D05">
        <w:t>Parry, S. (2013e) No-one told me final plea had failed, Mail Online, 1 September.</w:t>
      </w:r>
    </w:p>
    <w:p w14:paraId="7B11F48E" w14:textId="77777777" w:rsidR="009F4ABA" w:rsidRPr="001C5D05" w:rsidRDefault="009F4ABA" w:rsidP="007B4618">
      <w:pPr>
        <w:spacing w:line="480" w:lineRule="auto"/>
        <w:ind w:left="720" w:hanging="720"/>
      </w:pPr>
      <w:r w:rsidRPr="001C5D05">
        <w:t xml:space="preserve">Parry, S. (2015a) </w:t>
      </w:r>
      <w:r w:rsidRPr="001C5D05">
        <w:rPr>
          <w:rFonts w:eastAsia="Arial,Times New Roman" w:cs="Arial,Times New Roman"/>
        </w:rPr>
        <w:t>Drug mule granny “weeks away from Bali firing squad” after being asked to sign document that formally confirms death sentence, Mail Online, 24 January.</w:t>
      </w:r>
    </w:p>
    <w:p w14:paraId="7ADFDE99" w14:textId="77777777" w:rsidR="009F4ABA" w:rsidRPr="001C5D05" w:rsidRDefault="009F4ABA" w:rsidP="007B4618">
      <w:pPr>
        <w:spacing w:line="480" w:lineRule="auto"/>
        <w:ind w:left="720" w:hanging="720"/>
      </w:pPr>
      <w:r w:rsidRPr="001C5D05">
        <w:t xml:space="preserve">Parry, S. (2015b) </w:t>
      </w:r>
      <w:r w:rsidRPr="001C5D05">
        <w:rPr>
          <w:rFonts w:eastAsia="Arial,SimSun" w:cs="Arial,SimSun"/>
          <w:lang w:eastAsia="zh-CN" w:bidi="he-IL"/>
        </w:rPr>
        <w:t xml:space="preserve">Jailed drug lord known as Bali’s “Mr Big” admits diplomat was seeing him when she should have been saving Death Row Britain from firing squad, Mail Online, 31 January. </w:t>
      </w:r>
    </w:p>
    <w:p w14:paraId="796B8CE3" w14:textId="77777777" w:rsidR="009F4ABA" w:rsidRPr="001C5D05" w:rsidRDefault="009F4ABA" w:rsidP="007B4618">
      <w:pPr>
        <w:spacing w:line="480" w:lineRule="auto"/>
        <w:ind w:left="720" w:hanging="720"/>
      </w:pPr>
      <w:r w:rsidRPr="001C5D05">
        <w:t xml:space="preserve">Parry, S. (2015c) </w:t>
      </w:r>
      <w:r w:rsidRPr="001C5D05">
        <w:rPr>
          <w:rFonts w:eastAsia="Arial" w:cs="Arial"/>
          <w:shd w:val="clear" w:color="auto" w:fill="FFFFFF"/>
        </w:rPr>
        <w:t>As British drugs mule granny waits to die, ringleader lives it up in Bangkok after he was released early from jail</w:t>
      </w:r>
      <w:r w:rsidRPr="001C5D05">
        <w:rPr>
          <w:rFonts w:eastAsia="Arial" w:cs="Arial"/>
        </w:rPr>
        <w:t>, Mail Online, 17 October.</w:t>
      </w:r>
    </w:p>
    <w:p w14:paraId="2E08E3AA" w14:textId="77777777" w:rsidR="009F4ABA" w:rsidRPr="001C5D05" w:rsidRDefault="009F4ABA" w:rsidP="007B4618">
      <w:pPr>
        <w:spacing w:line="480" w:lineRule="auto"/>
        <w:ind w:left="720" w:hanging="720"/>
      </w:pPr>
      <w:r w:rsidRPr="001C5D05">
        <w:t xml:space="preserve">Parry, S. (2016) </w:t>
      </w:r>
      <w:r w:rsidRPr="001C5D05">
        <w:rPr>
          <w:rFonts w:eastAsia="Arial" w:cs="Arial"/>
        </w:rPr>
        <w:t>British granny on Bali death row is forced to fund her appeal by setting up a knitting group in jail, Mail Online, 3 January.</w:t>
      </w:r>
    </w:p>
    <w:p w14:paraId="2612CCB2" w14:textId="77777777" w:rsidR="009F4ABA" w:rsidRPr="001C5D05" w:rsidRDefault="009F4ABA" w:rsidP="007B4618">
      <w:pPr>
        <w:spacing w:line="480" w:lineRule="auto"/>
        <w:ind w:left="720" w:hanging="720"/>
      </w:pPr>
      <w:r w:rsidRPr="001C5D05">
        <w:lastRenderedPageBreak/>
        <w:t xml:space="preserve">Parry, S. &amp; Creasy, R. (2013) Back in Britain and enjoying the high life, Mail Online, 3 June. </w:t>
      </w:r>
    </w:p>
    <w:p w14:paraId="3A439DA2" w14:textId="77777777" w:rsidR="009F4ABA" w:rsidRPr="001C5D05" w:rsidRDefault="009F4ABA" w:rsidP="007B4618">
      <w:pPr>
        <w:spacing w:line="480" w:lineRule="auto"/>
        <w:ind w:left="720" w:hanging="720"/>
      </w:pPr>
      <w:r w:rsidRPr="001C5D05">
        <w:t xml:space="preserve">Penal Reform International (2015) </w:t>
      </w:r>
      <w:r w:rsidRPr="001C5D05">
        <w:rPr>
          <w:i/>
        </w:rPr>
        <w:t>Global Prison Trends 2015</w:t>
      </w:r>
      <w:r w:rsidRPr="001C5D05">
        <w:t>. London: Penal Reform International.</w:t>
      </w:r>
    </w:p>
    <w:p w14:paraId="4F0328F1" w14:textId="77777777" w:rsidR="009F4ABA" w:rsidRPr="001C5D05" w:rsidRDefault="009F4ABA" w:rsidP="007B4618">
      <w:pPr>
        <w:spacing w:line="480" w:lineRule="auto"/>
        <w:ind w:left="720" w:hanging="720"/>
        <w:rPr>
          <w:b/>
          <w:bCs/>
        </w:rPr>
      </w:pPr>
      <w:r w:rsidRPr="001C5D05">
        <w:t xml:space="preserve">Perring, R. (2015) ‘Britons on death row: Up to 75 UK citizens face execution abroad’ </w:t>
      </w:r>
      <w:r w:rsidRPr="001C5D05">
        <w:rPr>
          <w:i/>
        </w:rPr>
        <w:t xml:space="preserve">The Express, </w:t>
      </w:r>
      <w:r w:rsidRPr="001C5D05">
        <w:t xml:space="preserve">Feb 21. </w:t>
      </w:r>
    </w:p>
    <w:p w14:paraId="47467E44" w14:textId="77777777" w:rsidR="009F4ABA" w:rsidRPr="001C5D05" w:rsidRDefault="009F4ABA" w:rsidP="007B4618">
      <w:pPr>
        <w:spacing w:line="480" w:lineRule="auto"/>
        <w:ind w:left="720" w:hanging="720"/>
      </w:pPr>
      <w:r w:rsidRPr="001C5D05">
        <w:t xml:space="preserve">Philofsky, R. (2008) ‘The Lives and Crimes of African-American Women on Death Row: A Case Study’. </w:t>
      </w:r>
      <w:r w:rsidRPr="001C5D05">
        <w:rPr>
          <w:i/>
        </w:rPr>
        <w:t>Crime, Law and Social Change</w:t>
      </w:r>
      <w:r w:rsidRPr="001C5D05">
        <w:t>, 49(4): 289-302.</w:t>
      </w:r>
    </w:p>
    <w:p w14:paraId="7666D2F0" w14:textId="77777777" w:rsidR="009F4ABA" w:rsidRPr="001C5D05" w:rsidRDefault="009F4ABA" w:rsidP="007B4618">
      <w:pPr>
        <w:spacing w:line="480" w:lineRule="auto"/>
        <w:ind w:left="720" w:hanging="720"/>
      </w:pPr>
      <w:r w:rsidRPr="001C5D05">
        <w:t xml:space="preserve"> Phipps, C. (2015) ‘Who were the eight people executed by Indonesia?” </w:t>
      </w:r>
      <w:r w:rsidRPr="001C5D05">
        <w:rPr>
          <w:i/>
        </w:rPr>
        <w:t>The Guardian,</w:t>
      </w:r>
      <w:r w:rsidRPr="001C5D05">
        <w:t xml:space="preserve"> April 28. </w:t>
      </w:r>
    </w:p>
    <w:p w14:paraId="61B73207" w14:textId="77777777" w:rsidR="009F4ABA" w:rsidRPr="001C5D05" w:rsidRDefault="009F4ABA" w:rsidP="007B4618">
      <w:pPr>
        <w:spacing w:line="480" w:lineRule="auto"/>
        <w:ind w:left="720" w:hanging="720"/>
      </w:pPr>
      <w:r w:rsidRPr="001C5D05">
        <w:t xml:space="preserve">Rapaport, E. (1991) ‘The Death Penalty and Gender Discrimination’. </w:t>
      </w:r>
      <w:r w:rsidRPr="001C5D05">
        <w:rPr>
          <w:i/>
        </w:rPr>
        <w:t>Law and Society Review</w:t>
      </w:r>
      <w:r w:rsidRPr="001C5D05">
        <w:t>, 25(2): 367-384.</w:t>
      </w:r>
    </w:p>
    <w:p w14:paraId="4C0725A9" w14:textId="77777777" w:rsidR="009F4ABA" w:rsidRPr="001C5D05" w:rsidRDefault="009F4ABA" w:rsidP="007B4618">
      <w:pPr>
        <w:spacing w:line="480" w:lineRule="auto"/>
        <w:ind w:left="720" w:hanging="720"/>
      </w:pPr>
      <w:r w:rsidRPr="001C5D05">
        <w:t xml:space="preserve">Rauhala, E. (2016) Duterte: During phone call, Trump praised my drug war as the “right way”. The Washington Post, 3 December. </w:t>
      </w:r>
    </w:p>
    <w:p w14:paraId="493CAC8B" w14:textId="77777777" w:rsidR="009F4ABA" w:rsidRPr="001C5D05" w:rsidRDefault="009F4ABA" w:rsidP="007B4618">
      <w:pPr>
        <w:spacing w:line="480" w:lineRule="auto"/>
        <w:ind w:left="720" w:hanging="720"/>
      </w:pPr>
      <w:r w:rsidRPr="001C5D05">
        <w:t xml:space="preserve">Reprieve (2014) </w:t>
      </w:r>
      <w:r w:rsidRPr="001C5D05">
        <w:rPr>
          <w:i/>
          <w:iCs/>
        </w:rPr>
        <w:t>European Aid for Executions</w:t>
      </w:r>
      <w:r w:rsidRPr="001C5D05">
        <w:t>. London.</w:t>
      </w:r>
    </w:p>
    <w:p w14:paraId="37B43CC5" w14:textId="77777777" w:rsidR="009F4ABA" w:rsidRPr="001C5D05" w:rsidRDefault="009F4ABA" w:rsidP="007B4618">
      <w:pPr>
        <w:spacing w:line="480" w:lineRule="auto"/>
        <w:ind w:left="720" w:hanging="720"/>
      </w:pPr>
      <w:r w:rsidRPr="001C5D05">
        <w:t xml:space="preserve"> Rose, J. (1998) ‘Margaret Thatcher and Ruth Ellis’. </w:t>
      </w:r>
      <w:r w:rsidRPr="001C5D05">
        <w:rPr>
          <w:i/>
        </w:rPr>
        <w:t>New Formations</w:t>
      </w:r>
      <w:r w:rsidRPr="001C5D05">
        <w:t>, 6(3): 3-29.</w:t>
      </w:r>
    </w:p>
    <w:p w14:paraId="188C171A" w14:textId="77777777" w:rsidR="009F4ABA" w:rsidRPr="001C5D05" w:rsidRDefault="009F4ABA" w:rsidP="007B4618">
      <w:pPr>
        <w:spacing w:line="480" w:lineRule="auto"/>
        <w:ind w:left="720" w:hanging="720"/>
      </w:pPr>
      <w:r w:rsidRPr="001C5D05">
        <w:t>Sandiford, L (2015) British grandmother next before Bali firing squad says “I won’t wear a blindfold. I’ll look them in the eye and be singing Magic Moments when they shoot me”, Mail Online, 2 May.</w:t>
      </w:r>
    </w:p>
    <w:p w14:paraId="515F0980" w14:textId="77777777" w:rsidR="009F4ABA" w:rsidRPr="001C5D05" w:rsidRDefault="009F4ABA" w:rsidP="007B4618">
      <w:pPr>
        <w:spacing w:line="480" w:lineRule="auto"/>
        <w:ind w:left="720" w:hanging="720"/>
      </w:pPr>
      <w:r w:rsidRPr="001C5D05">
        <w:t xml:space="preserve">Santos, M. (2013a) China executes Filipina Drug Mule, </w:t>
      </w:r>
      <w:r w:rsidRPr="001C5D05">
        <w:rPr>
          <w:i/>
          <w:iCs/>
        </w:rPr>
        <w:t>Inquirer</w:t>
      </w:r>
      <w:r w:rsidRPr="001C5D05">
        <w:t xml:space="preserve">, 3 July. </w:t>
      </w:r>
    </w:p>
    <w:p w14:paraId="45FC5129" w14:textId="77777777" w:rsidR="009F4ABA" w:rsidRPr="001C5D05" w:rsidRDefault="009F4ABA" w:rsidP="007B4618">
      <w:pPr>
        <w:spacing w:line="480" w:lineRule="auto"/>
        <w:ind w:left="720" w:hanging="720"/>
        <w:rPr>
          <w:b/>
          <w:bCs/>
          <w:i/>
          <w:iCs/>
        </w:rPr>
      </w:pPr>
      <w:r w:rsidRPr="001C5D05">
        <w:t xml:space="preserve">Santos, M. (2013b) Filipina 5th Filipino drug mule to be put to death by China since 2011, </w:t>
      </w:r>
      <w:r w:rsidRPr="001C5D05">
        <w:rPr>
          <w:i/>
          <w:iCs/>
        </w:rPr>
        <w:t>Inquirer,</w:t>
      </w:r>
      <w:r w:rsidRPr="001C5D05">
        <w:t xml:space="preserve"> 3 July. </w:t>
      </w:r>
    </w:p>
    <w:p w14:paraId="7BC26DAE" w14:textId="77777777" w:rsidR="009F4ABA" w:rsidRPr="001C5D05" w:rsidRDefault="009F4ABA" w:rsidP="007B4618">
      <w:pPr>
        <w:spacing w:line="480" w:lineRule="auto"/>
        <w:ind w:left="720" w:hanging="720"/>
      </w:pPr>
      <w:r w:rsidRPr="001C5D05">
        <w:t xml:space="preserve">Schemenauer, E. (2012) ‘Victims and Vamps, Madonnas and Whores: the construction of female drug couriers and the practices of the US Security State’. </w:t>
      </w:r>
      <w:r w:rsidRPr="001C5D05">
        <w:rPr>
          <w:i/>
        </w:rPr>
        <w:t>International Feminist Journal of Politics</w:t>
      </w:r>
      <w:r w:rsidRPr="001C5D05">
        <w:t>, 14(1), 83–102.</w:t>
      </w:r>
    </w:p>
    <w:p w14:paraId="6CF6999B" w14:textId="77777777" w:rsidR="009F4ABA" w:rsidRPr="001C5D05" w:rsidRDefault="009F4ABA" w:rsidP="007B4618">
      <w:pPr>
        <w:spacing w:line="480" w:lineRule="auto"/>
        <w:ind w:left="720" w:hanging="720"/>
        <w:rPr>
          <w:i/>
          <w:iCs/>
        </w:rPr>
      </w:pPr>
      <w:r w:rsidRPr="001C5D05">
        <w:lastRenderedPageBreak/>
        <w:t xml:space="preserve">Schleifer, R. (2011) ‘Foreword’, in D. Barrett (ed) </w:t>
      </w:r>
      <w:r w:rsidRPr="001C5D05">
        <w:rPr>
          <w:i/>
          <w:iCs/>
        </w:rPr>
        <w:t>Children of the drug war: Perspectives on the impact of drug policies on young people,</w:t>
      </w:r>
      <w:r w:rsidRPr="001C5D05">
        <w:t xml:space="preserve"> New York: idebate Press.</w:t>
      </w:r>
    </w:p>
    <w:p w14:paraId="4B6FB0A4" w14:textId="77777777" w:rsidR="009F4ABA" w:rsidRPr="001C5D05" w:rsidRDefault="009F4ABA" w:rsidP="007B4618">
      <w:pPr>
        <w:spacing w:line="480" w:lineRule="auto"/>
        <w:ind w:left="720" w:hanging="720"/>
      </w:pPr>
      <w:r w:rsidRPr="001C5D05">
        <w:t xml:space="preserve">Seal, L. (2010) </w:t>
      </w:r>
      <w:r w:rsidRPr="001C5D05">
        <w:rPr>
          <w:i/>
        </w:rPr>
        <w:t>Women, Murder and Femininity: Gender Representations of Women Who Kill</w:t>
      </w:r>
      <w:r w:rsidRPr="001C5D05">
        <w:t>, Basingstoke: Palgrave.</w:t>
      </w:r>
    </w:p>
    <w:p w14:paraId="16D85B9F" w14:textId="77777777" w:rsidR="009F4ABA" w:rsidRPr="001C5D05" w:rsidRDefault="009F4ABA" w:rsidP="007B4618">
      <w:pPr>
        <w:spacing w:line="480" w:lineRule="auto"/>
        <w:ind w:left="720" w:hanging="720"/>
      </w:pPr>
      <w:r w:rsidRPr="001C5D05">
        <w:t xml:space="preserve">Seitz. T N. (2005) ‘The Wounds of Savagery: Negro Primitivism, Gender Parity and the Execution of Rosanna Lightner Phillips’. </w:t>
      </w:r>
      <w:r w:rsidRPr="001C5D05">
        <w:rPr>
          <w:i/>
        </w:rPr>
        <w:t>Women and Criminal Justice</w:t>
      </w:r>
      <w:r w:rsidRPr="001C5D05">
        <w:t>, 16(1/2): 29-64.</w:t>
      </w:r>
    </w:p>
    <w:p w14:paraId="053FA6A7" w14:textId="77777777" w:rsidR="009F4ABA" w:rsidRPr="001C5D05" w:rsidRDefault="009F4ABA" w:rsidP="007B4618">
      <w:pPr>
        <w:spacing w:line="480" w:lineRule="auto"/>
        <w:ind w:left="720" w:hanging="720"/>
      </w:pPr>
      <w:r w:rsidRPr="001C5D05">
        <w:t xml:space="preserve">Shapiro, A. (2000) ‘Unequal Before the Law: Men, Women and the Death Penalty’. </w:t>
      </w:r>
      <w:r w:rsidRPr="001C5D05">
        <w:rPr>
          <w:i/>
        </w:rPr>
        <w:t>American University Journal of Gender, Social Policy and the Law</w:t>
      </w:r>
      <w:r w:rsidRPr="001C5D05">
        <w:t>, 8(2): 427-470.</w:t>
      </w:r>
    </w:p>
    <w:p w14:paraId="75E8F782" w14:textId="77777777" w:rsidR="009F4ABA" w:rsidRPr="001C5D05" w:rsidRDefault="009F4ABA" w:rsidP="007B4618">
      <w:pPr>
        <w:spacing w:line="480" w:lineRule="auto"/>
        <w:ind w:left="720" w:hanging="720"/>
      </w:pPr>
      <w:r w:rsidRPr="001C5D05">
        <w:t xml:space="preserve">Shatz, S. F., and Shatz, N. R. (2012) ‘Chivalry is Not Dead: Murder, Gender and the Death Penalty’. </w:t>
      </w:r>
      <w:r w:rsidRPr="001C5D05">
        <w:rPr>
          <w:i/>
        </w:rPr>
        <w:t>Berkeley Journal of Gender, Law and Justice</w:t>
      </w:r>
      <w:r w:rsidRPr="001C5D05">
        <w:t>, 27(1): 64-112.</w:t>
      </w:r>
    </w:p>
    <w:p w14:paraId="056C21D4" w14:textId="77777777" w:rsidR="009F4ABA" w:rsidRPr="001C5D05" w:rsidRDefault="009F4ABA" w:rsidP="007B4618">
      <w:pPr>
        <w:spacing w:line="480" w:lineRule="auto"/>
        <w:ind w:left="720" w:hanging="720"/>
      </w:pPr>
      <w:r w:rsidRPr="001C5D05">
        <w:t xml:space="preserve">Shears, R. (2013a) </w:t>
      </w:r>
      <w:r w:rsidRPr="001C5D05">
        <w:rPr>
          <w:rFonts w:eastAsia="Arial" w:cs="Arial"/>
        </w:rPr>
        <w:t>Is that justice? British “mastermind” of Bali cocaine gang is jailed for just six years as co-conspirator granny sweats on death row, Mail Online, 29 January.</w:t>
      </w:r>
    </w:p>
    <w:p w14:paraId="205A6F33" w14:textId="77777777" w:rsidR="009F4ABA" w:rsidRPr="001C5D05" w:rsidRDefault="009F4ABA" w:rsidP="007B4618">
      <w:pPr>
        <w:spacing w:line="480" w:lineRule="auto"/>
        <w:ind w:left="720" w:hanging="720"/>
      </w:pPr>
      <w:r w:rsidRPr="001C5D05">
        <w:t xml:space="preserve">Shears, R. (2013b) </w:t>
      </w:r>
      <w:r w:rsidRPr="001C5D05">
        <w:rPr>
          <w:rFonts w:eastAsia="Arial,Times New Roman" w:cs="Arial,Times New Roman"/>
        </w:rPr>
        <w:t>Cocaine-smuggling British grandmother locked up in Bali faces 18-week wait to find out whether her appeal against death sentence has been successful, Mail Online, 23 April.</w:t>
      </w:r>
    </w:p>
    <w:p w14:paraId="4868BF4F" w14:textId="77777777" w:rsidR="009F4ABA" w:rsidRPr="001C5D05" w:rsidRDefault="009F4ABA" w:rsidP="007B4618">
      <w:pPr>
        <w:spacing w:line="480" w:lineRule="auto"/>
        <w:ind w:left="720" w:hanging="720"/>
        <w:rPr>
          <w:rFonts w:eastAsia="Arial" w:cs="Arial"/>
        </w:rPr>
      </w:pPr>
      <w:r w:rsidRPr="001C5D05">
        <w:t xml:space="preserve">Shears, R. and Miller, D. (2013) </w:t>
      </w:r>
      <w:r w:rsidRPr="001C5D05">
        <w:rPr>
          <w:rFonts w:eastAsia="Arial" w:cs="Arial"/>
        </w:rPr>
        <w:t xml:space="preserve">Drug-smuggling British grandmother sentenced to death in Bali is so depressed she refused to allow her sister to visit, Mail Online, 23 January. </w:t>
      </w:r>
    </w:p>
    <w:p w14:paraId="758013FC" w14:textId="77777777" w:rsidR="009F4ABA" w:rsidRPr="001C5D05" w:rsidRDefault="009F4ABA" w:rsidP="007B4618">
      <w:pPr>
        <w:spacing w:line="480" w:lineRule="auto"/>
        <w:ind w:left="720" w:hanging="720"/>
      </w:pPr>
      <w:r w:rsidRPr="001C5D05">
        <w:t xml:space="preserve">Shears, R. and Reynolds, E. (2012) The ‘drug smuggler from suburbia’, Mail Online, 29 May. </w:t>
      </w:r>
    </w:p>
    <w:p w14:paraId="4D8BA607" w14:textId="77777777" w:rsidR="009F4ABA" w:rsidRPr="001C5D05" w:rsidRDefault="009F4ABA" w:rsidP="007B4618">
      <w:pPr>
        <w:spacing w:line="480" w:lineRule="auto"/>
        <w:ind w:left="720" w:hanging="720"/>
      </w:pPr>
      <w:r w:rsidRPr="001C5D05">
        <w:t xml:space="preserve"> Smith, T. (2016) President Duterte’s anti-US populism is a dangerously isolationist path, </w:t>
      </w:r>
      <w:r w:rsidRPr="001C5D05">
        <w:rPr>
          <w:i/>
        </w:rPr>
        <w:t>The Guardian,</w:t>
      </w:r>
      <w:r w:rsidRPr="001C5D05">
        <w:t xml:space="preserve"> September 7. </w:t>
      </w:r>
    </w:p>
    <w:p w14:paraId="016D4193" w14:textId="77777777" w:rsidR="009F4ABA" w:rsidRPr="001C5D05" w:rsidRDefault="009F4ABA" w:rsidP="007B4618">
      <w:pPr>
        <w:spacing w:line="480" w:lineRule="auto"/>
        <w:ind w:left="720" w:hanging="720"/>
      </w:pPr>
      <w:r w:rsidRPr="001C5D05">
        <w:lastRenderedPageBreak/>
        <w:t xml:space="preserve">Stoicescu, C. (2015) ‘Indonesia uses faulty stats on ‘drug crisis’ to justify death penalty’ </w:t>
      </w:r>
      <w:hyperlink r:id="rId16">
        <w:r w:rsidRPr="001C5D05">
          <w:rPr>
            <w:rStyle w:val="Hyperlink"/>
            <w:color w:val="auto"/>
          </w:rPr>
          <w:t>http://theconversation.com/indonesia-uses-faulty-stats-on-drug-crisis-to-justify-death-penalty-36512</w:t>
        </w:r>
      </w:hyperlink>
      <w:r w:rsidRPr="001C5D05">
        <w:t xml:space="preserve"> </w:t>
      </w:r>
    </w:p>
    <w:p w14:paraId="57794E83" w14:textId="77777777" w:rsidR="009F4ABA" w:rsidRPr="001C5D05" w:rsidRDefault="009F4ABA" w:rsidP="007B4618">
      <w:pPr>
        <w:spacing w:line="480" w:lineRule="auto"/>
        <w:ind w:left="720" w:hanging="720"/>
      </w:pPr>
      <w:r w:rsidRPr="001C5D05">
        <w:t xml:space="preserve">Streib, V. (2006) ‘Rare and Inconsistent: The Death Penalty for Women’. </w:t>
      </w:r>
      <w:r w:rsidRPr="001C5D05">
        <w:rPr>
          <w:i/>
        </w:rPr>
        <w:t>Fordham Urban Law Journal</w:t>
      </w:r>
      <w:r w:rsidRPr="001C5D05">
        <w:t>, 33(2): 609-636.</w:t>
      </w:r>
    </w:p>
    <w:p w14:paraId="63C5D493" w14:textId="77777777" w:rsidR="009F4ABA" w:rsidRPr="001C5D05" w:rsidRDefault="009F4ABA" w:rsidP="007B4618">
      <w:pPr>
        <w:spacing w:line="480" w:lineRule="auto"/>
        <w:ind w:left="720" w:hanging="720"/>
      </w:pPr>
      <w:r w:rsidRPr="001C5D05">
        <w:t xml:space="preserve">Sudbury, J. (2002) ‘Celling Black Bodies: Black Women in the Global Prison Industrial Complex’. </w:t>
      </w:r>
      <w:r w:rsidRPr="001C5D05">
        <w:rPr>
          <w:i/>
          <w:iCs/>
        </w:rPr>
        <w:t>Feminist Review</w:t>
      </w:r>
      <w:r w:rsidRPr="001C5D05">
        <w:t>, (70), 57–74.</w:t>
      </w:r>
    </w:p>
    <w:p w14:paraId="377900AA" w14:textId="77777777" w:rsidR="009F4ABA" w:rsidRPr="001C5D05" w:rsidRDefault="009F4ABA" w:rsidP="007B4618">
      <w:pPr>
        <w:spacing w:line="480" w:lineRule="auto"/>
        <w:ind w:left="720" w:hanging="720"/>
      </w:pPr>
      <w:r w:rsidRPr="001C5D05">
        <w:t xml:space="preserve">Taylor, S. (2008) ‘Outside the Outsiders: Media Representations of Drug Use’. </w:t>
      </w:r>
      <w:r w:rsidRPr="001C5D05">
        <w:rPr>
          <w:i/>
        </w:rPr>
        <w:t>Probation Journal</w:t>
      </w:r>
      <w:r w:rsidRPr="001C5D05">
        <w:t>, 55(4): 369-387.</w:t>
      </w:r>
    </w:p>
    <w:p w14:paraId="381B5DDD" w14:textId="77777777" w:rsidR="009F4ABA" w:rsidRPr="001C5D05" w:rsidRDefault="009F4ABA" w:rsidP="007B4618">
      <w:pPr>
        <w:spacing w:line="480" w:lineRule="auto"/>
        <w:ind w:left="720" w:hanging="720"/>
      </w:pPr>
      <w:r w:rsidRPr="001C5D05">
        <w:t>UN Commission on Narcotic Drugs (2011) ‘Promoting international cooperation in addressing the involvement of women and girls in drug trafficking, especially as couriers: report of the executive director, UN  doc.E/CN7/2011/7’, Vienna: United Nations.</w:t>
      </w:r>
    </w:p>
    <w:p w14:paraId="0CECB48A" w14:textId="77777777" w:rsidR="009F4ABA" w:rsidRPr="001C5D05" w:rsidRDefault="009F4ABA" w:rsidP="007B4618">
      <w:pPr>
        <w:spacing w:line="480" w:lineRule="auto"/>
        <w:ind w:left="720" w:hanging="720"/>
      </w:pPr>
      <w:r w:rsidRPr="001C5D05">
        <w:t xml:space="preserve">Villamor, F. (2016) Rodrigo Duterte Says Trump Endorses His Violent Antidrug Campaign, New York Times, 3 December. </w:t>
      </w:r>
    </w:p>
    <w:p w14:paraId="6FD6D005" w14:textId="77777777" w:rsidR="009F4ABA" w:rsidRPr="001C5D05" w:rsidRDefault="009F4ABA" w:rsidP="007B4618">
      <w:pPr>
        <w:spacing w:line="480" w:lineRule="auto"/>
        <w:ind w:left="720" w:hanging="720"/>
      </w:pPr>
      <w:r w:rsidRPr="001C5D05">
        <w:t xml:space="preserve">Walmsley, R. (2016) </w:t>
      </w:r>
      <w:r w:rsidRPr="001C5D05">
        <w:rPr>
          <w:i/>
        </w:rPr>
        <w:t>World Female Imprisonment List</w:t>
      </w:r>
      <w:r w:rsidRPr="001C5D05">
        <w:t>, 3</w:t>
      </w:r>
      <w:r w:rsidRPr="001C5D05">
        <w:rPr>
          <w:vertAlign w:val="superscript"/>
        </w:rPr>
        <w:t>rd</w:t>
      </w:r>
      <w:r w:rsidRPr="001C5D05">
        <w:t xml:space="preserve"> edition, London: Institute for Criminal Policy Research. </w:t>
      </w:r>
    </w:p>
    <w:p w14:paraId="1EF7515F" w14:textId="77777777" w:rsidR="009F4ABA" w:rsidRPr="001C5D05" w:rsidRDefault="009F4ABA" w:rsidP="007B4618">
      <w:pPr>
        <w:spacing w:line="480" w:lineRule="auto"/>
        <w:ind w:left="720" w:hanging="720"/>
      </w:pPr>
      <w:r w:rsidRPr="001C5D05">
        <w:t xml:space="preserve">Wardle, C. (2007) ‘Monsters and Angels: Visual Press Coverage of Child Murders in the US and UK, 1930-2000’. </w:t>
      </w:r>
      <w:r w:rsidRPr="001C5D05">
        <w:rPr>
          <w:i/>
        </w:rPr>
        <w:t>Journalism</w:t>
      </w:r>
      <w:r w:rsidRPr="001C5D05">
        <w:t>, 8(3): 263-284.</w:t>
      </w:r>
    </w:p>
    <w:p w14:paraId="10F95F3D" w14:textId="77777777" w:rsidR="009F4ABA" w:rsidRPr="001C5D05" w:rsidRDefault="009F4ABA" w:rsidP="007B4618">
      <w:pPr>
        <w:spacing w:line="480" w:lineRule="auto"/>
        <w:ind w:left="720" w:hanging="720"/>
      </w:pPr>
      <w:r w:rsidRPr="001C5D05">
        <w:t xml:space="preserve">Woodiwiss, M., and Hobbs, D. (2009) ‘Organized evil and the Atlantic alliance moral panics and the rhetoric of organized crime policing in America and Britain’. </w:t>
      </w:r>
      <w:r w:rsidRPr="001C5D05">
        <w:rPr>
          <w:i/>
        </w:rPr>
        <w:t>British Journal of Criminology</w:t>
      </w:r>
      <w:r w:rsidRPr="001C5D05">
        <w:t>, 49(1), 106-128.</w:t>
      </w:r>
    </w:p>
    <w:p w14:paraId="49C763B4" w14:textId="77777777" w:rsidR="009F4ABA" w:rsidRPr="001C5D05" w:rsidRDefault="009F4ABA" w:rsidP="007B4618">
      <w:pPr>
        <w:spacing w:line="480" w:lineRule="auto"/>
        <w:ind w:left="720" w:hanging="720"/>
      </w:pPr>
      <w:r w:rsidRPr="001C5D05">
        <w:t xml:space="preserve">Yachi, M. (2014) ‘The Effect of Female Suicide Attacks on Foreign Media Framing of Conflicts: The Case of the Palestinian-Israeli Conflict.’ </w:t>
      </w:r>
      <w:r w:rsidRPr="001C5D05">
        <w:rPr>
          <w:i/>
        </w:rPr>
        <w:t>Studies in Conflict and Terrorism</w:t>
      </w:r>
      <w:r w:rsidRPr="001C5D05">
        <w:t>, 37(8): 674-688.</w:t>
      </w:r>
    </w:p>
    <w:p w14:paraId="0148C13E" w14:textId="77777777" w:rsidR="009F4ABA" w:rsidRPr="001C5D05" w:rsidRDefault="009F4ABA" w:rsidP="007B4618">
      <w:pPr>
        <w:spacing w:line="480" w:lineRule="auto"/>
        <w:ind w:left="720" w:hanging="720"/>
      </w:pPr>
      <w:r w:rsidRPr="001C5D05">
        <w:lastRenderedPageBreak/>
        <w:t xml:space="preserve">Young, A. (1996) </w:t>
      </w:r>
      <w:r w:rsidRPr="001C5D05">
        <w:rPr>
          <w:i/>
        </w:rPr>
        <w:t>Imagining crime</w:t>
      </w:r>
      <w:r w:rsidRPr="001C5D05">
        <w:t>. London: Sage Publications.</w:t>
      </w:r>
    </w:p>
    <w:sectPr w:rsidR="009F4ABA" w:rsidRPr="001C5D05" w:rsidSect="007B4618">
      <w:footerReference w:type="even" r:id="rId17"/>
      <w:footerReference w:type="default" r:id="rId18"/>
      <w:endnotePr>
        <w:numFmt w:val="decimal"/>
      </w:endnotePr>
      <w:pgSz w:w="11900" w:h="16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49F81A" w15:done="0"/>
  <w15:commentEx w15:paraId="2E01BDC5" w15:done="0"/>
  <w15:commentEx w15:paraId="0935643A" w15:done="0"/>
  <w15:commentEx w15:paraId="64E84025" w15:done="0"/>
  <w15:commentEx w15:paraId="2318E8E2" w15:done="0"/>
  <w15:commentEx w15:paraId="02AE9DAF" w15:done="0"/>
  <w15:commentEx w15:paraId="56058963" w15:done="0"/>
  <w15:commentEx w15:paraId="60ED1FFB" w15:paraIdParent="56058963" w15:done="0"/>
  <w15:commentEx w15:paraId="5FD220A6" w15:done="0"/>
  <w15:commentEx w15:paraId="5A08A468" w15:done="0"/>
  <w15:commentEx w15:paraId="63B6F6EF" w15:paraIdParent="5A08A468" w15:done="0"/>
  <w15:commentEx w15:paraId="20967C19" w15:done="0"/>
  <w15:commentEx w15:paraId="53CB7850" w15:paraIdParent="20967C19" w15:done="0"/>
  <w15:commentEx w15:paraId="50042346" w15:done="0"/>
  <w15:commentEx w15:paraId="35D627F6" w15:done="0"/>
  <w15:commentEx w15:paraId="13137D1B" w15:done="0"/>
  <w15:commentEx w15:paraId="5C9AE6E1" w15:done="0"/>
  <w15:commentEx w15:paraId="3F1850CE" w15:paraIdParent="5C9AE6E1" w15:done="0"/>
  <w15:commentEx w15:paraId="0133D7ED" w15:done="0"/>
  <w15:commentEx w15:paraId="280DD05A" w15:paraIdParent="0133D7ED" w15:done="0"/>
  <w15:commentEx w15:paraId="06432D21" w15:done="0"/>
  <w15:commentEx w15:paraId="03FF0E1F" w15:done="0"/>
  <w15:commentEx w15:paraId="5B171D22" w15:done="0"/>
  <w15:commentEx w15:paraId="75C1BF81" w15:paraIdParent="5B171D22" w15:done="0"/>
  <w15:commentEx w15:paraId="50099264" w15:done="0"/>
  <w15:commentEx w15:paraId="120D4DAC" w15:done="0"/>
  <w15:commentEx w15:paraId="10D38861" w15:done="0"/>
  <w15:commentEx w15:paraId="309D4CE2" w15:paraIdParent="10D38861" w15:done="0"/>
  <w15:commentEx w15:paraId="51E50906" w15:done="0"/>
  <w15:commentEx w15:paraId="7288C17D" w15:done="0"/>
  <w15:commentEx w15:paraId="6C8A33CB" w15:done="0"/>
  <w15:commentEx w15:paraId="51232C2D" w15:paraIdParent="6C8A33CB" w15:done="0"/>
  <w15:commentEx w15:paraId="0CF1D667" w15:done="0"/>
  <w15:commentEx w15:paraId="0A738B46" w15:paraIdParent="0CF1D667" w15:done="0"/>
  <w15:commentEx w15:paraId="34BAF76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1866E" w14:textId="77777777" w:rsidR="00287898" w:rsidRDefault="00287898" w:rsidP="00CA3E9B">
      <w:r>
        <w:separator/>
      </w:r>
    </w:p>
  </w:endnote>
  <w:endnote w:type="continuationSeparator" w:id="0">
    <w:p w14:paraId="04C2C12B" w14:textId="77777777" w:rsidR="00287898" w:rsidRDefault="00287898" w:rsidP="00CA3E9B">
      <w:r>
        <w:continuationSeparator/>
      </w:r>
    </w:p>
  </w:endnote>
  <w:endnote w:id="1">
    <w:p w14:paraId="300F3FC9" w14:textId="20B4A788" w:rsidR="00287898" w:rsidRPr="00CF33E5" w:rsidRDefault="00287898">
      <w:pPr>
        <w:pStyle w:val="EndnoteText"/>
        <w:rPr>
          <w:lang w:val="en-US"/>
        </w:rPr>
      </w:pPr>
      <w:r>
        <w:rPr>
          <w:rStyle w:val="EndnoteReference"/>
        </w:rPr>
        <w:endnoteRef/>
      </w:r>
      <w:r>
        <w:t xml:space="preserve"> </w:t>
      </w:r>
      <w:r w:rsidRPr="00CF33E5">
        <w:rPr>
          <w:lang w:val="en-US"/>
        </w:rPr>
        <w:t xml:space="preserve">We use the term courier or drug mule to describe people who carry drugs belonging to someone else across international borders. </w:t>
      </w:r>
    </w:p>
  </w:endnote>
  <w:endnote w:id="2">
    <w:p w14:paraId="56453E9C" w14:textId="77777777" w:rsidR="00287898" w:rsidRPr="00CF33E5" w:rsidRDefault="00287898" w:rsidP="007572BD">
      <w:pPr>
        <w:pStyle w:val="EndnoteText"/>
        <w:spacing w:line="276" w:lineRule="auto"/>
      </w:pPr>
    </w:p>
    <w:p w14:paraId="349C1E0C" w14:textId="6E9A4996" w:rsidR="00287898" w:rsidRPr="00CF33E5" w:rsidRDefault="00287898" w:rsidP="007572BD">
      <w:pPr>
        <w:pStyle w:val="EndnoteText"/>
        <w:spacing w:line="276" w:lineRule="auto"/>
      </w:pPr>
      <w:r w:rsidRPr="00CF33E5">
        <w:rPr>
          <w:rStyle w:val="EndnoteReference"/>
        </w:rPr>
        <w:endnoteRef/>
      </w:r>
      <w:r w:rsidRPr="00CF33E5">
        <w:t xml:space="preserve"> In 2012 (when Sandiford was arrested), 669 Britons were arrested abroad for drug offences, including 36 in Thailand. (Foreign and Commonwealth Office 2013). In 2015-2016, 589 Britons were arrested overseas for drug offences including 8 in China and 46 in Thailand for drug offences – countries which retain capital punishment (Foreign and Commonwealth Office 2016). </w:t>
      </w:r>
    </w:p>
  </w:endnote>
  <w:endnote w:id="3">
    <w:p w14:paraId="3CF1ADBF" w14:textId="77777777" w:rsidR="00287898" w:rsidRPr="00CF33E5" w:rsidRDefault="00287898" w:rsidP="007572BD">
      <w:pPr>
        <w:pStyle w:val="EndnoteText"/>
        <w:spacing w:line="276" w:lineRule="auto"/>
        <w:rPr>
          <w:lang w:val="en-US"/>
        </w:rPr>
      </w:pPr>
      <w:r w:rsidRPr="00CF33E5">
        <w:rPr>
          <w:rStyle w:val="EndnoteReference"/>
        </w:rPr>
        <w:endnoteRef/>
      </w:r>
      <w:r w:rsidRPr="00CF33E5">
        <w:t xml:space="preserve"> The Single Convention on Narcotic Drugs of 1961 as amended by the 1972 Protocol, the Convention on Psychotropic Substances of 1971 and the United Nations Convention against Illicit Traffic in Narcotic Drugs and Psychotropic Substances of 1988. </w:t>
      </w:r>
    </w:p>
  </w:endnote>
  <w:endnote w:id="4">
    <w:p w14:paraId="1EA35E37" w14:textId="7B2A3A8B" w:rsidR="00287898" w:rsidRPr="00CF33E5" w:rsidRDefault="00287898" w:rsidP="007572BD">
      <w:pPr>
        <w:pStyle w:val="EndnoteText"/>
        <w:spacing w:line="276" w:lineRule="auto"/>
        <w:rPr>
          <w:lang w:val="en-US"/>
        </w:rPr>
      </w:pPr>
      <w:r w:rsidRPr="00CF33E5">
        <w:rPr>
          <w:rStyle w:val="EndnoteReference"/>
        </w:rPr>
        <w:endnoteRef/>
      </w:r>
      <w:r w:rsidRPr="00CF33E5">
        <w:t xml:space="preserve"> Researchers and activists document to the damages wrought on children and families by harsh drug laws and policies in the USA (Chesney-Lind and Mauer 2003) and around the world (Barrett ed. 2011).</w:t>
      </w:r>
    </w:p>
  </w:endnote>
  <w:endnote w:id="5">
    <w:p w14:paraId="650DD0B2" w14:textId="4F1F4319" w:rsidR="00287898" w:rsidRPr="00CF33E5" w:rsidRDefault="00287898" w:rsidP="007572BD">
      <w:pPr>
        <w:pStyle w:val="EndnoteText"/>
        <w:spacing w:line="276" w:lineRule="auto"/>
        <w:rPr>
          <w:lang w:val="en-US"/>
        </w:rPr>
      </w:pPr>
      <w:r w:rsidRPr="00CF33E5">
        <w:rPr>
          <w:rStyle w:val="EndnoteReference"/>
        </w:rPr>
        <w:endnoteRef/>
      </w:r>
      <w:r w:rsidRPr="00CF33E5">
        <w:t xml:space="preserve"> Conversely, there have been recent calls for the reintroduction of the death penalty in the Philippines, including for drug offences (Cockburn, 2016).</w:t>
      </w:r>
    </w:p>
  </w:endnote>
  <w:endnote w:id="6">
    <w:p w14:paraId="00E16B3A" w14:textId="77777777" w:rsidR="00287898" w:rsidRPr="00CF33E5" w:rsidRDefault="00287898" w:rsidP="007572BD">
      <w:pPr>
        <w:pStyle w:val="EndnoteText"/>
        <w:spacing w:line="276" w:lineRule="auto"/>
        <w:rPr>
          <w:lang w:val="en-US"/>
        </w:rPr>
      </w:pPr>
      <w:r w:rsidRPr="00CF33E5">
        <w:rPr>
          <w:rStyle w:val="EndnoteReference"/>
        </w:rPr>
        <w:endnoteRef/>
      </w:r>
      <w:r w:rsidRPr="00CF33E5">
        <w:t xml:space="preserve"> Amnesty international note that the use of the death penalty for terrorism offences is on the rise, including expanding existing legislation to include a wide range of offences seen to undermine the state (2016b).</w:t>
      </w:r>
    </w:p>
  </w:endnote>
  <w:endnote w:id="7">
    <w:p w14:paraId="3D61993D" w14:textId="77777777" w:rsidR="00287898" w:rsidRPr="00CF33E5" w:rsidRDefault="00287898" w:rsidP="007572BD">
      <w:pPr>
        <w:pStyle w:val="EndnoteText"/>
        <w:spacing w:line="276" w:lineRule="auto"/>
        <w:rPr>
          <w:lang w:val="en-US"/>
        </w:rPr>
      </w:pPr>
      <w:r w:rsidRPr="00CF33E5">
        <w:rPr>
          <w:rStyle w:val="EndnoteReference"/>
        </w:rPr>
        <w:endnoteRef/>
      </w:r>
      <w:r w:rsidRPr="00CF33E5">
        <w:t xml:space="preserve"> The main data sources on the death penalty pay scant attention to gender. Amnesty International (2016a), Harm Reduction International (Gallahue and Lines 2010, 2015), and Cornell University Law School (no date), did not publish comprehensive data about the sex of those executed.</w:t>
      </w:r>
    </w:p>
  </w:endnote>
  <w:endnote w:id="8">
    <w:p w14:paraId="1C5438AD" w14:textId="77777777" w:rsidR="00287898" w:rsidRPr="00CF33E5" w:rsidRDefault="00287898" w:rsidP="007572BD">
      <w:pPr>
        <w:pStyle w:val="EndnoteText"/>
        <w:spacing w:line="276" w:lineRule="auto"/>
        <w:rPr>
          <w:lang w:val="en-US"/>
        </w:rPr>
      </w:pPr>
      <w:r w:rsidRPr="00CF33E5">
        <w:rPr>
          <w:rStyle w:val="EndnoteReference"/>
        </w:rPr>
        <w:endnoteRef/>
      </w:r>
      <w:r w:rsidRPr="00CF33E5">
        <w:t xml:space="preserve"> This is the highest recorded figure since 1995, and a 76% increase on the previous year (Amnesty International 2016: 47).</w:t>
      </w:r>
    </w:p>
  </w:endnote>
  <w:endnote w:id="9">
    <w:p w14:paraId="660EF7DF" w14:textId="77777777" w:rsidR="00287898" w:rsidRPr="00CF33E5" w:rsidRDefault="00287898" w:rsidP="007572BD">
      <w:pPr>
        <w:pStyle w:val="EndnoteText"/>
        <w:spacing w:line="276" w:lineRule="auto"/>
        <w:rPr>
          <w:lang w:val="en-US"/>
        </w:rPr>
      </w:pPr>
      <w:r w:rsidRPr="00CF33E5">
        <w:rPr>
          <w:rStyle w:val="EndnoteReference"/>
        </w:rPr>
        <w:endnoteRef/>
      </w:r>
      <w:r w:rsidRPr="00CF33E5">
        <w:t xml:space="preserve"> </w:t>
      </w:r>
      <w:r w:rsidRPr="00CF33E5">
        <w:rPr>
          <w:lang w:val="en-US"/>
        </w:rPr>
        <w:t xml:space="preserve">Database searched for the period 1/1/2007 to 18/4/2017. </w:t>
      </w:r>
    </w:p>
  </w:endnote>
  <w:endnote w:id="10">
    <w:p w14:paraId="397FB7BF" w14:textId="77777777" w:rsidR="00287898" w:rsidRPr="00CF33E5" w:rsidRDefault="00287898" w:rsidP="007572BD">
      <w:pPr>
        <w:pStyle w:val="EndnoteText"/>
        <w:spacing w:line="276" w:lineRule="auto"/>
      </w:pPr>
      <w:r w:rsidRPr="00CF33E5">
        <w:rPr>
          <w:rStyle w:val="EndnoteReference"/>
        </w:rPr>
        <w:endnoteRef/>
      </w:r>
      <w:r w:rsidRPr="00CF33E5">
        <w:t xml:space="preserve"> A search of the Nexis database of news sources for mentions of Lindsay Sandiford since her arrest in May 2012 and the end of September 2016 revealed that Mail Online had 210 mentions, the highest number.  The second highest was the Gloucestershire Echo, with 154 (Sandiford had </w:t>
      </w:r>
    </w:p>
    <w:p w14:paraId="7077BBF4" w14:textId="73B8E264" w:rsidR="00287898" w:rsidRPr="00CF33E5" w:rsidRDefault="00287898" w:rsidP="007572BD">
      <w:pPr>
        <w:pStyle w:val="EndnoteText"/>
        <w:spacing w:line="276" w:lineRule="auto"/>
        <w:rPr>
          <w:lang w:val="en-US"/>
        </w:rPr>
      </w:pPr>
      <w:r w:rsidRPr="00CF33E5">
        <w:t>previously lived in Cheltenham) and third was The Independent with 112 mentions.</w:t>
      </w:r>
    </w:p>
  </w:endnote>
  <w:endnote w:id="11">
    <w:p w14:paraId="275F65D5" w14:textId="373F6CAB" w:rsidR="00287898" w:rsidRPr="000866B8" w:rsidRDefault="00287898">
      <w:pPr>
        <w:pStyle w:val="EndnoteText"/>
        <w:rPr>
          <w:lang w:val="en-US"/>
        </w:rPr>
      </w:pPr>
      <w:r>
        <w:rPr>
          <w:rStyle w:val="EndnoteReference"/>
        </w:rPr>
        <w:endnoteRef/>
      </w:r>
      <w:r>
        <w:t xml:space="preserve"> </w:t>
      </w:r>
      <w:r>
        <w:rPr>
          <w:lang w:val="en-US"/>
        </w:rPr>
        <w:t xml:space="preserve">Our empirical analysis covers this period, but little has changed between completing analysis and publication. </w:t>
      </w:r>
    </w:p>
  </w:endnote>
  <w:endnote w:id="12">
    <w:p w14:paraId="7013CB16" w14:textId="486C35FC" w:rsidR="00287898" w:rsidRPr="00CF33E5" w:rsidRDefault="00287898">
      <w:pPr>
        <w:pStyle w:val="EndnoteText"/>
        <w:rPr>
          <w:lang w:val="en-US"/>
        </w:rPr>
      </w:pPr>
      <w:r w:rsidRPr="00CF33E5">
        <w:rPr>
          <w:rStyle w:val="EndnoteReference"/>
        </w:rPr>
        <w:endnoteRef/>
      </w:r>
      <w:r w:rsidRPr="00CF33E5">
        <w:t xml:space="preserve"> https://www.justgiving.com/fundraising/save-lindsay-sandiford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Times New Roman">
    <w:altName w:val="Times New Roman"/>
    <w:panose1 w:val="00000000000000000000"/>
    <w:charset w:val="00"/>
    <w:family w:val="roman"/>
    <w:notTrueType/>
    <w:pitch w:val="default"/>
  </w:font>
  <w:font w:name="Arial,SimSun">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79AD2" w14:textId="77777777" w:rsidR="00287898" w:rsidRDefault="00287898" w:rsidP="00DD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B51D8" w14:textId="77777777" w:rsidR="00287898" w:rsidRDefault="00287898" w:rsidP="00DD74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E19C6" w14:textId="77777777" w:rsidR="00287898" w:rsidRDefault="00287898" w:rsidP="00DD74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C5D05">
      <w:rPr>
        <w:rStyle w:val="PageNumber"/>
        <w:noProof/>
      </w:rPr>
      <w:t>40</w:t>
    </w:r>
    <w:r>
      <w:rPr>
        <w:rStyle w:val="PageNumber"/>
      </w:rPr>
      <w:fldChar w:fldCharType="end"/>
    </w:r>
  </w:p>
  <w:p w14:paraId="02AFAD5B" w14:textId="77777777" w:rsidR="00287898" w:rsidRDefault="00287898" w:rsidP="00DD74D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C9F1C4" w14:textId="77777777" w:rsidR="00287898" w:rsidRDefault="00287898" w:rsidP="00CA3E9B">
      <w:r>
        <w:separator/>
      </w:r>
    </w:p>
  </w:footnote>
  <w:footnote w:type="continuationSeparator" w:id="0">
    <w:p w14:paraId="0F44FB16" w14:textId="77777777" w:rsidR="00287898" w:rsidRDefault="00287898" w:rsidP="00CA3E9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7CB7"/>
    <w:multiLevelType w:val="hybridMultilevel"/>
    <w:tmpl w:val="123831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FCA6322"/>
    <w:multiLevelType w:val="hybridMultilevel"/>
    <w:tmpl w:val="D492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1E390D"/>
    <w:multiLevelType w:val="hybridMultilevel"/>
    <w:tmpl w:val="D41E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655415"/>
    <w:multiLevelType w:val="hybridMultilevel"/>
    <w:tmpl w:val="FA44B998"/>
    <w:lvl w:ilvl="0" w:tplc="A5E003BA">
      <w:start w:val="1"/>
      <w:numFmt w:val="bullet"/>
      <w:lvlText w:val="•"/>
      <w:lvlJc w:val="left"/>
      <w:pPr>
        <w:tabs>
          <w:tab w:val="num" w:pos="720"/>
        </w:tabs>
        <w:ind w:left="720" w:hanging="360"/>
      </w:pPr>
      <w:rPr>
        <w:rFonts w:ascii="Arial" w:hAnsi="Arial" w:hint="default"/>
      </w:rPr>
    </w:lvl>
    <w:lvl w:ilvl="1" w:tplc="3DCE6952" w:tentative="1">
      <w:start w:val="1"/>
      <w:numFmt w:val="bullet"/>
      <w:lvlText w:val="•"/>
      <w:lvlJc w:val="left"/>
      <w:pPr>
        <w:tabs>
          <w:tab w:val="num" w:pos="1440"/>
        </w:tabs>
        <w:ind w:left="1440" w:hanging="360"/>
      </w:pPr>
      <w:rPr>
        <w:rFonts w:ascii="Arial" w:hAnsi="Arial" w:hint="default"/>
      </w:rPr>
    </w:lvl>
    <w:lvl w:ilvl="2" w:tplc="E0A84BC8" w:tentative="1">
      <w:start w:val="1"/>
      <w:numFmt w:val="bullet"/>
      <w:lvlText w:val="•"/>
      <w:lvlJc w:val="left"/>
      <w:pPr>
        <w:tabs>
          <w:tab w:val="num" w:pos="2160"/>
        </w:tabs>
        <w:ind w:left="2160" w:hanging="360"/>
      </w:pPr>
      <w:rPr>
        <w:rFonts w:ascii="Arial" w:hAnsi="Arial" w:hint="default"/>
      </w:rPr>
    </w:lvl>
    <w:lvl w:ilvl="3" w:tplc="84BE1348" w:tentative="1">
      <w:start w:val="1"/>
      <w:numFmt w:val="bullet"/>
      <w:lvlText w:val="•"/>
      <w:lvlJc w:val="left"/>
      <w:pPr>
        <w:tabs>
          <w:tab w:val="num" w:pos="2880"/>
        </w:tabs>
        <w:ind w:left="2880" w:hanging="360"/>
      </w:pPr>
      <w:rPr>
        <w:rFonts w:ascii="Arial" w:hAnsi="Arial" w:hint="default"/>
      </w:rPr>
    </w:lvl>
    <w:lvl w:ilvl="4" w:tplc="0AACB5C8" w:tentative="1">
      <w:start w:val="1"/>
      <w:numFmt w:val="bullet"/>
      <w:lvlText w:val="•"/>
      <w:lvlJc w:val="left"/>
      <w:pPr>
        <w:tabs>
          <w:tab w:val="num" w:pos="3600"/>
        </w:tabs>
        <w:ind w:left="3600" w:hanging="360"/>
      </w:pPr>
      <w:rPr>
        <w:rFonts w:ascii="Arial" w:hAnsi="Arial" w:hint="default"/>
      </w:rPr>
    </w:lvl>
    <w:lvl w:ilvl="5" w:tplc="484E4930" w:tentative="1">
      <w:start w:val="1"/>
      <w:numFmt w:val="bullet"/>
      <w:lvlText w:val="•"/>
      <w:lvlJc w:val="left"/>
      <w:pPr>
        <w:tabs>
          <w:tab w:val="num" w:pos="4320"/>
        </w:tabs>
        <w:ind w:left="4320" w:hanging="360"/>
      </w:pPr>
      <w:rPr>
        <w:rFonts w:ascii="Arial" w:hAnsi="Arial" w:hint="default"/>
      </w:rPr>
    </w:lvl>
    <w:lvl w:ilvl="6" w:tplc="1B5CF106" w:tentative="1">
      <w:start w:val="1"/>
      <w:numFmt w:val="bullet"/>
      <w:lvlText w:val="•"/>
      <w:lvlJc w:val="left"/>
      <w:pPr>
        <w:tabs>
          <w:tab w:val="num" w:pos="5040"/>
        </w:tabs>
        <w:ind w:left="5040" w:hanging="360"/>
      </w:pPr>
      <w:rPr>
        <w:rFonts w:ascii="Arial" w:hAnsi="Arial" w:hint="default"/>
      </w:rPr>
    </w:lvl>
    <w:lvl w:ilvl="7" w:tplc="18467E60" w:tentative="1">
      <w:start w:val="1"/>
      <w:numFmt w:val="bullet"/>
      <w:lvlText w:val="•"/>
      <w:lvlJc w:val="left"/>
      <w:pPr>
        <w:tabs>
          <w:tab w:val="num" w:pos="5760"/>
        </w:tabs>
        <w:ind w:left="5760" w:hanging="360"/>
      </w:pPr>
      <w:rPr>
        <w:rFonts w:ascii="Arial" w:hAnsi="Arial" w:hint="default"/>
      </w:rPr>
    </w:lvl>
    <w:lvl w:ilvl="8" w:tplc="BCDA858A" w:tentative="1">
      <w:start w:val="1"/>
      <w:numFmt w:val="bullet"/>
      <w:lvlText w:val="•"/>
      <w:lvlJc w:val="left"/>
      <w:pPr>
        <w:tabs>
          <w:tab w:val="num" w:pos="6480"/>
        </w:tabs>
        <w:ind w:left="6480" w:hanging="360"/>
      </w:pPr>
      <w:rPr>
        <w:rFonts w:ascii="Arial" w:hAnsi="Arial" w:hint="default"/>
      </w:rPr>
    </w:lvl>
  </w:abstractNum>
  <w:abstractNum w:abstractNumId="4">
    <w:nsid w:val="31BF31E4"/>
    <w:multiLevelType w:val="hybridMultilevel"/>
    <w:tmpl w:val="FEEADF72"/>
    <w:lvl w:ilvl="0" w:tplc="E58E28F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B40F84"/>
    <w:multiLevelType w:val="hybridMultilevel"/>
    <w:tmpl w:val="951619E2"/>
    <w:lvl w:ilvl="0" w:tplc="7E2248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5C3D10"/>
    <w:multiLevelType w:val="hybridMultilevel"/>
    <w:tmpl w:val="C26E7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F73D84"/>
    <w:multiLevelType w:val="hybridMultilevel"/>
    <w:tmpl w:val="FA261752"/>
    <w:lvl w:ilvl="0" w:tplc="DEDA0F7A">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3855A8"/>
    <w:multiLevelType w:val="hybridMultilevel"/>
    <w:tmpl w:val="CE66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A66305"/>
    <w:multiLevelType w:val="hybridMultilevel"/>
    <w:tmpl w:val="5D6EA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E37249"/>
    <w:multiLevelType w:val="hybridMultilevel"/>
    <w:tmpl w:val="6814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1B4492"/>
    <w:multiLevelType w:val="hybridMultilevel"/>
    <w:tmpl w:val="A9B65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8"/>
  </w:num>
  <w:num w:numId="4">
    <w:abstractNumId w:val="9"/>
  </w:num>
  <w:num w:numId="5">
    <w:abstractNumId w:val="11"/>
  </w:num>
  <w:num w:numId="6">
    <w:abstractNumId w:val="2"/>
  </w:num>
  <w:num w:numId="7">
    <w:abstractNumId w:val="10"/>
  </w:num>
  <w:num w:numId="8">
    <w:abstractNumId w:val="3"/>
  </w:num>
  <w:num w:numId="9">
    <w:abstractNumId w:val="6"/>
  </w:num>
  <w:num w:numId="10">
    <w:abstractNumId w:val="4"/>
  </w:num>
  <w:num w:numId="11">
    <w:abstractNumId w:val="5"/>
  </w:num>
  <w:num w:numId="1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zzie Seal">
    <w15:presenceInfo w15:providerId="AD" w15:userId="S-1-5-21-2503082639-3578878356-3745479065-2173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CC9"/>
    <w:rsid w:val="00000466"/>
    <w:rsid w:val="0000254A"/>
    <w:rsid w:val="000160F4"/>
    <w:rsid w:val="00016ABF"/>
    <w:rsid w:val="00020001"/>
    <w:rsid w:val="00025DFF"/>
    <w:rsid w:val="00026666"/>
    <w:rsid w:val="00027BE5"/>
    <w:rsid w:val="00031460"/>
    <w:rsid w:val="000328B2"/>
    <w:rsid w:val="00034CA1"/>
    <w:rsid w:val="00040F7D"/>
    <w:rsid w:val="00043EF0"/>
    <w:rsid w:val="00043FBB"/>
    <w:rsid w:val="000450B5"/>
    <w:rsid w:val="00053FB1"/>
    <w:rsid w:val="00055415"/>
    <w:rsid w:val="00055ADD"/>
    <w:rsid w:val="00056346"/>
    <w:rsid w:val="00056B0E"/>
    <w:rsid w:val="00061138"/>
    <w:rsid w:val="00061383"/>
    <w:rsid w:val="00065BC0"/>
    <w:rsid w:val="00067DE4"/>
    <w:rsid w:val="0007068F"/>
    <w:rsid w:val="0007137E"/>
    <w:rsid w:val="000754FF"/>
    <w:rsid w:val="000866B8"/>
    <w:rsid w:val="00094F66"/>
    <w:rsid w:val="000955ED"/>
    <w:rsid w:val="00095C21"/>
    <w:rsid w:val="000A0C56"/>
    <w:rsid w:val="000A20A7"/>
    <w:rsid w:val="000A3272"/>
    <w:rsid w:val="000B6994"/>
    <w:rsid w:val="000C3E1A"/>
    <w:rsid w:val="000C52BA"/>
    <w:rsid w:val="000D1E29"/>
    <w:rsid w:val="000D3D56"/>
    <w:rsid w:val="000E0505"/>
    <w:rsid w:val="000E6E5D"/>
    <w:rsid w:val="000F07E8"/>
    <w:rsid w:val="000F35A7"/>
    <w:rsid w:val="000F4153"/>
    <w:rsid w:val="000F44A9"/>
    <w:rsid w:val="000F5B0F"/>
    <w:rsid w:val="000F7C3E"/>
    <w:rsid w:val="0010419C"/>
    <w:rsid w:val="001079D9"/>
    <w:rsid w:val="00110BC9"/>
    <w:rsid w:val="00120350"/>
    <w:rsid w:val="0012090C"/>
    <w:rsid w:val="00120CA9"/>
    <w:rsid w:val="00120D96"/>
    <w:rsid w:val="001250B9"/>
    <w:rsid w:val="00126FBF"/>
    <w:rsid w:val="00127213"/>
    <w:rsid w:val="001377F1"/>
    <w:rsid w:val="00141347"/>
    <w:rsid w:val="00145E7F"/>
    <w:rsid w:val="001464A3"/>
    <w:rsid w:val="00146DDD"/>
    <w:rsid w:val="0014763F"/>
    <w:rsid w:val="00150CC5"/>
    <w:rsid w:val="00151B44"/>
    <w:rsid w:val="00152164"/>
    <w:rsid w:val="001564D7"/>
    <w:rsid w:val="00162DE6"/>
    <w:rsid w:val="00166E3D"/>
    <w:rsid w:val="00167B89"/>
    <w:rsid w:val="0017523A"/>
    <w:rsid w:val="00181058"/>
    <w:rsid w:val="00193A4C"/>
    <w:rsid w:val="001A12AD"/>
    <w:rsid w:val="001A14E8"/>
    <w:rsid w:val="001A5CCE"/>
    <w:rsid w:val="001B0B70"/>
    <w:rsid w:val="001B0E4A"/>
    <w:rsid w:val="001B1534"/>
    <w:rsid w:val="001B308D"/>
    <w:rsid w:val="001B330C"/>
    <w:rsid w:val="001B4F5E"/>
    <w:rsid w:val="001B57A4"/>
    <w:rsid w:val="001B584A"/>
    <w:rsid w:val="001C2605"/>
    <w:rsid w:val="001C5D05"/>
    <w:rsid w:val="001C60C9"/>
    <w:rsid w:val="001D3482"/>
    <w:rsid w:val="001E05C7"/>
    <w:rsid w:val="001E2F37"/>
    <w:rsid w:val="001E4BF4"/>
    <w:rsid w:val="001E5D8F"/>
    <w:rsid w:val="001E648C"/>
    <w:rsid w:val="001E6AC7"/>
    <w:rsid w:val="001E7C63"/>
    <w:rsid w:val="001F2059"/>
    <w:rsid w:val="001F293B"/>
    <w:rsid w:val="00202783"/>
    <w:rsid w:val="0020786D"/>
    <w:rsid w:val="00211CF7"/>
    <w:rsid w:val="002121AF"/>
    <w:rsid w:val="00212321"/>
    <w:rsid w:val="0021557F"/>
    <w:rsid w:val="00221B12"/>
    <w:rsid w:val="00223380"/>
    <w:rsid w:val="002248F9"/>
    <w:rsid w:val="002302B0"/>
    <w:rsid w:val="002335F1"/>
    <w:rsid w:val="00242DC7"/>
    <w:rsid w:val="00243F4F"/>
    <w:rsid w:val="002456B9"/>
    <w:rsid w:val="00245FC5"/>
    <w:rsid w:val="00246239"/>
    <w:rsid w:val="002471A9"/>
    <w:rsid w:val="002472D7"/>
    <w:rsid w:val="00252883"/>
    <w:rsid w:val="00256868"/>
    <w:rsid w:val="002574ED"/>
    <w:rsid w:val="00262F6F"/>
    <w:rsid w:val="00263624"/>
    <w:rsid w:val="00264153"/>
    <w:rsid w:val="00264D05"/>
    <w:rsid w:val="0026613A"/>
    <w:rsid w:val="00271B2A"/>
    <w:rsid w:val="002735E9"/>
    <w:rsid w:val="00275BC1"/>
    <w:rsid w:val="002820C0"/>
    <w:rsid w:val="002823D5"/>
    <w:rsid w:val="0028280C"/>
    <w:rsid w:val="00283274"/>
    <w:rsid w:val="00283B43"/>
    <w:rsid w:val="002868FC"/>
    <w:rsid w:val="002871D2"/>
    <w:rsid w:val="002873B0"/>
    <w:rsid w:val="00287898"/>
    <w:rsid w:val="00287A48"/>
    <w:rsid w:val="00290943"/>
    <w:rsid w:val="002A4FFD"/>
    <w:rsid w:val="002A5597"/>
    <w:rsid w:val="002A6C20"/>
    <w:rsid w:val="002B0394"/>
    <w:rsid w:val="002C2266"/>
    <w:rsid w:val="002C324F"/>
    <w:rsid w:val="002C3F48"/>
    <w:rsid w:val="002C4B5F"/>
    <w:rsid w:val="002C4F20"/>
    <w:rsid w:val="002D33A2"/>
    <w:rsid w:val="002D423E"/>
    <w:rsid w:val="002D42DB"/>
    <w:rsid w:val="002D6521"/>
    <w:rsid w:val="002D6840"/>
    <w:rsid w:val="002E1E99"/>
    <w:rsid w:val="002E45E9"/>
    <w:rsid w:val="002F629C"/>
    <w:rsid w:val="002F6513"/>
    <w:rsid w:val="002F726C"/>
    <w:rsid w:val="00304D4D"/>
    <w:rsid w:val="00307586"/>
    <w:rsid w:val="00313E29"/>
    <w:rsid w:val="003233D5"/>
    <w:rsid w:val="00326C86"/>
    <w:rsid w:val="00331A19"/>
    <w:rsid w:val="00332298"/>
    <w:rsid w:val="00333A0B"/>
    <w:rsid w:val="00334FF9"/>
    <w:rsid w:val="00340528"/>
    <w:rsid w:val="00351F1E"/>
    <w:rsid w:val="00356CB2"/>
    <w:rsid w:val="00361341"/>
    <w:rsid w:val="003675EF"/>
    <w:rsid w:val="0037083D"/>
    <w:rsid w:val="003739B2"/>
    <w:rsid w:val="0038420B"/>
    <w:rsid w:val="00384D70"/>
    <w:rsid w:val="003874D9"/>
    <w:rsid w:val="0038766D"/>
    <w:rsid w:val="00393393"/>
    <w:rsid w:val="003936B0"/>
    <w:rsid w:val="00397090"/>
    <w:rsid w:val="003A2462"/>
    <w:rsid w:val="003A7CA0"/>
    <w:rsid w:val="003B2B52"/>
    <w:rsid w:val="003B3F83"/>
    <w:rsid w:val="003C1C32"/>
    <w:rsid w:val="003C2E38"/>
    <w:rsid w:val="003C3FBC"/>
    <w:rsid w:val="003E2D9F"/>
    <w:rsid w:val="003E5F17"/>
    <w:rsid w:val="003F52B7"/>
    <w:rsid w:val="003F6356"/>
    <w:rsid w:val="00404E29"/>
    <w:rsid w:val="00416996"/>
    <w:rsid w:val="00416BE4"/>
    <w:rsid w:val="00423C72"/>
    <w:rsid w:val="004243CC"/>
    <w:rsid w:val="00434DA7"/>
    <w:rsid w:val="00435A07"/>
    <w:rsid w:val="00444184"/>
    <w:rsid w:val="00444475"/>
    <w:rsid w:val="0045354B"/>
    <w:rsid w:val="00453ED6"/>
    <w:rsid w:val="0045417E"/>
    <w:rsid w:val="00454CCD"/>
    <w:rsid w:val="004641C4"/>
    <w:rsid w:val="00464594"/>
    <w:rsid w:val="004663EF"/>
    <w:rsid w:val="00470EFA"/>
    <w:rsid w:val="004719E3"/>
    <w:rsid w:val="00471A99"/>
    <w:rsid w:val="00471F83"/>
    <w:rsid w:val="00472A76"/>
    <w:rsid w:val="00472CC3"/>
    <w:rsid w:val="00483BE2"/>
    <w:rsid w:val="00483D74"/>
    <w:rsid w:val="00487599"/>
    <w:rsid w:val="004A05C4"/>
    <w:rsid w:val="004A0CC4"/>
    <w:rsid w:val="004A709E"/>
    <w:rsid w:val="004B322C"/>
    <w:rsid w:val="004B5617"/>
    <w:rsid w:val="004C0190"/>
    <w:rsid w:val="004C193E"/>
    <w:rsid w:val="004C4331"/>
    <w:rsid w:val="004D141D"/>
    <w:rsid w:val="004D417B"/>
    <w:rsid w:val="004E4611"/>
    <w:rsid w:val="004E5DC4"/>
    <w:rsid w:val="004F10CB"/>
    <w:rsid w:val="005014EB"/>
    <w:rsid w:val="005038F7"/>
    <w:rsid w:val="005044A1"/>
    <w:rsid w:val="00511886"/>
    <w:rsid w:val="00524A29"/>
    <w:rsid w:val="00527DCA"/>
    <w:rsid w:val="0053176B"/>
    <w:rsid w:val="0053206F"/>
    <w:rsid w:val="00541EA2"/>
    <w:rsid w:val="005466FC"/>
    <w:rsid w:val="005578B4"/>
    <w:rsid w:val="00557E1D"/>
    <w:rsid w:val="00571A93"/>
    <w:rsid w:val="00577B5B"/>
    <w:rsid w:val="005904FD"/>
    <w:rsid w:val="0059445B"/>
    <w:rsid w:val="00597EF5"/>
    <w:rsid w:val="005A09D8"/>
    <w:rsid w:val="005A1F3D"/>
    <w:rsid w:val="005A518B"/>
    <w:rsid w:val="005A54B9"/>
    <w:rsid w:val="005C1230"/>
    <w:rsid w:val="005C5964"/>
    <w:rsid w:val="005C6D6F"/>
    <w:rsid w:val="005D2EE4"/>
    <w:rsid w:val="005D369F"/>
    <w:rsid w:val="005D48E7"/>
    <w:rsid w:val="005D65A0"/>
    <w:rsid w:val="005F1C3A"/>
    <w:rsid w:val="005F3560"/>
    <w:rsid w:val="005F4F6B"/>
    <w:rsid w:val="005F7964"/>
    <w:rsid w:val="00610A32"/>
    <w:rsid w:val="00613BC3"/>
    <w:rsid w:val="00625535"/>
    <w:rsid w:val="00630133"/>
    <w:rsid w:val="00631232"/>
    <w:rsid w:val="00641A5A"/>
    <w:rsid w:val="00652470"/>
    <w:rsid w:val="00652970"/>
    <w:rsid w:val="0065455A"/>
    <w:rsid w:val="00661C65"/>
    <w:rsid w:val="00662EE0"/>
    <w:rsid w:val="00663A81"/>
    <w:rsid w:val="0066401D"/>
    <w:rsid w:val="0066462E"/>
    <w:rsid w:val="0067204B"/>
    <w:rsid w:val="00672AEF"/>
    <w:rsid w:val="00673163"/>
    <w:rsid w:val="00674442"/>
    <w:rsid w:val="00680F0A"/>
    <w:rsid w:val="00684477"/>
    <w:rsid w:val="00685741"/>
    <w:rsid w:val="00690A1C"/>
    <w:rsid w:val="006910D6"/>
    <w:rsid w:val="00691341"/>
    <w:rsid w:val="006967F9"/>
    <w:rsid w:val="006A23EA"/>
    <w:rsid w:val="006A39B2"/>
    <w:rsid w:val="006B0334"/>
    <w:rsid w:val="006B5367"/>
    <w:rsid w:val="006B6FE4"/>
    <w:rsid w:val="006B7BED"/>
    <w:rsid w:val="006B7D82"/>
    <w:rsid w:val="006C16DA"/>
    <w:rsid w:val="006C1EB4"/>
    <w:rsid w:val="006D0241"/>
    <w:rsid w:val="006D135E"/>
    <w:rsid w:val="006D2449"/>
    <w:rsid w:val="006D6964"/>
    <w:rsid w:val="006E57AD"/>
    <w:rsid w:val="006F13B7"/>
    <w:rsid w:val="006F19EF"/>
    <w:rsid w:val="006F26E0"/>
    <w:rsid w:val="006F4D62"/>
    <w:rsid w:val="00700D74"/>
    <w:rsid w:val="007043E2"/>
    <w:rsid w:val="007053F0"/>
    <w:rsid w:val="0070641B"/>
    <w:rsid w:val="00706A49"/>
    <w:rsid w:val="00707B27"/>
    <w:rsid w:val="00712300"/>
    <w:rsid w:val="00715D62"/>
    <w:rsid w:val="00716EB5"/>
    <w:rsid w:val="00722856"/>
    <w:rsid w:val="007231DF"/>
    <w:rsid w:val="00723349"/>
    <w:rsid w:val="00724951"/>
    <w:rsid w:val="00726BB3"/>
    <w:rsid w:val="00732FEB"/>
    <w:rsid w:val="007334B1"/>
    <w:rsid w:val="007356BE"/>
    <w:rsid w:val="007402C8"/>
    <w:rsid w:val="00746353"/>
    <w:rsid w:val="0075021F"/>
    <w:rsid w:val="00751821"/>
    <w:rsid w:val="0075263A"/>
    <w:rsid w:val="007527D7"/>
    <w:rsid w:val="00754128"/>
    <w:rsid w:val="0075520B"/>
    <w:rsid w:val="00756F4E"/>
    <w:rsid w:val="007572BD"/>
    <w:rsid w:val="007578AC"/>
    <w:rsid w:val="00757D5E"/>
    <w:rsid w:val="00757F72"/>
    <w:rsid w:val="00762CBC"/>
    <w:rsid w:val="00766017"/>
    <w:rsid w:val="00773F10"/>
    <w:rsid w:val="0077620D"/>
    <w:rsid w:val="0078061C"/>
    <w:rsid w:val="007809D8"/>
    <w:rsid w:val="007857EB"/>
    <w:rsid w:val="00786752"/>
    <w:rsid w:val="007933B3"/>
    <w:rsid w:val="00793C5A"/>
    <w:rsid w:val="0079540E"/>
    <w:rsid w:val="007B2C16"/>
    <w:rsid w:val="007B3B04"/>
    <w:rsid w:val="007B4618"/>
    <w:rsid w:val="007C104B"/>
    <w:rsid w:val="007C1201"/>
    <w:rsid w:val="007C173D"/>
    <w:rsid w:val="007C17D4"/>
    <w:rsid w:val="007C1E62"/>
    <w:rsid w:val="007C1FF6"/>
    <w:rsid w:val="007C7741"/>
    <w:rsid w:val="007D4E56"/>
    <w:rsid w:val="007D6CF2"/>
    <w:rsid w:val="007E17E2"/>
    <w:rsid w:val="007E795C"/>
    <w:rsid w:val="007F0582"/>
    <w:rsid w:val="007F1C4B"/>
    <w:rsid w:val="0080060A"/>
    <w:rsid w:val="008011AA"/>
    <w:rsid w:val="00803322"/>
    <w:rsid w:val="00811473"/>
    <w:rsid w:val="0081734F"/>
    <w:rsid w:val="00823417"/>
    <w:rsid w:val="00824F3D"/>
    <w:rsid w:val="008258D0"/>
    <w:rsid w:val="00826B92"/>
    <w:rsid w:val="00827B03"/>
    <w:rsid w:val="00834FBB"/>
    <w:rsid w:val="00843A0D"/>
    <w:rsid w:val="008444E8"/>
    <w:rsid w:val="0085242D"/>
    <w:rsid w:val="008528D7"/>
    <w:rsid w:val="0086103C"/>
    <w:rsid w:val="00862D66"/>
    <w:rsid w:val="00863367"/>
    <w:rsid w:val="008634B8"/>
    <w:rsid w:val="0086631E"/>
    <w:rsid w:val="00866AC9"/>
    <w:rsid w:val="00867484"/>
    <w:rsid w:val="0087188B"/>
    <w:rsid w:val="00871B74"/>
    <w:rsid w:val="00881A8A"/>
    <w:rsid w:val="00881E31"/>
    <w:rsid w:val="0088222F"/>
    <w:rsid w:val="00882F4D"/>
    <w:rsid w:val="00884C07"/>
    <w:rsid w:val="00885950"/>
    <w:rsid w:val="008875BD"/>
    <w:rsid w:val="0089016B"/>
    <w:rsid w:val="008910CA"/>
    <w:rsid w:val="008949F3"/>
    <w:rsid w:val="00894C8C"/>
    <w:rsid w:val="0089549D"/>
    <w:rsid w:val="008A0F69"/>
    <w:rsid w:val="008A10B7"/>
    <w:rsid w:val="008A173C"/>
    <w:rsid w:val="008A39BD"/>
    <w:rsid w:val="008B0EBC"/>
    <w:rsid w:val="008D03A2"/>
    <w:rsid w:val="008D1C0B"/>
    <w:rsid w:val="008D40B2"/>
    <w:rsid w:val="008D6A7F"/>
    <w:rsid w:val="008D7217"/>
    <w:rsid w:val="008E59B4"/>
    <w:rsid w:val="008F5321"/>
    <w:rsid w:val="008F5A5B"/>
    <w:rsid w:val="0090103E"/>
    <w:rsid w:val="00901E13"/>
    <w:rsid w:val="00906437"/>
    <w:rsid w:val="0091189E"/>
    <w:rsid w:val="0091462E"/>
    <w:rsid w:val="0091487A"/>
    <w:rsid w:val="00914B60"/>
    <w:rsid w:val="009163C5"/>
    <w:rsid w:val="0091784F"/>
    <w:rsid w:val="0092037F"/>
    <w:rsid w:val="00922D29"/>
    <w:rsid w:val="0093523A"/>
    <w:rsid w:val="009365AD"/>
    <w:rsid w:val="0094517C"/>
    <w:rsid w:val="00950BA9"/>
    <w:rsid w:val="00954277"/>
    <w:rsid w:val="00955A6F"/>
    <w:rsid w:val="00964DFB"/>
    <w:rsid w:val="00965309"/>
    <w:rsid w:val="00965F11"/>
    <w:rsid w:val="00977409"/>
    <w:rsid w:val="00982F5C"/>
    <w:rsid w:val="00984653"/>
    <w:rsid w:val="0098588C"/>
    <w:rsid w:val="009867B3"/>
    <w:rsid w:val="00993830"/>
    <w:rsid w:val="009941A2"/>
    <w:rsid w:val="0099511B"/>
    <w:rsid w:val="00995C2F"/>
    <w:rsid w:val="009A1C6F"/>
    <w:rsid w:val="009A360C"/>
    <w:rsid w:val="009B4823"/>
    <w:rsid w:val="009B7080"/>
    <w:rsid w:val="009B7DE1"/>
    <w:rsid w:val="009C0B71"/>
    <w:rsid w:val="009C3470"/>
    <w:rsid w:val="009C3532"/>
    <w:rsid w:val="009C5716"/>
    <w:rsid w:val="009C7200"/>
    <w:rsid w:val="009D3650"/>
    <w:rsid w:val="009E4826"/>
    <w:rsid w:val="009E7110"/>
    <w:rsid w:val="009F102D"/>
    <w:rsid w:val="009F1458"/>
    <w:rsid w:val="009F4ABA"/>
    <w:rsid w:val="009F5348"/>
    <w:rsid w:val="00A059A4"/>
    <w:rsid w:val="00A06387"/>
    <w:rsid w:val="00A07B5B"/>
    <w:rsid w:val="00A12B1F"/>
    <w:rsid w:val="00A14FCE"/>
    <w:rsid w:val="00A160B9"/>
    <w:rsid w:val="00A1796F"/>
    <w:rsid w:val="00A228BC"/>
    <w:rsid w:val="00A22919"/>
    <w:rsid w:val="00A24988"/>
    <w:rsid w:val="00A26ECE"/>
    <w:rsid w:val="00A314B3"/>
    <w:rsid w:val="00A33E09"/>
    <w:rsid w:val="00A3582A"/>
    <w:rsid w:val="00A41784"/>
    <w:rsid w:val="00A428B9"/>
    <w:rsid w:val="00A44266"/>
    <w:rsid w:val="00A55CEA"/>
    <w:rsid w:val="00A63CB8"/>
    <w:rsid w:val="00A655FB"/>
    <w:rsid w:val="00A70862"/>
    <w:rsid w:val="00A72453"/>
    <w:rsid w:val="00A76B17"/>
    <w:rsid w:val="00A85B6A"/>
    <w:rsid w:val="00A87288"/>
    <w:rsid w:val="00A8774F"/>
    <w:rsid w:val="00A90CC9"/>
    <w:rsid w:val="00A91A49"/>
    <w:rsid w:val="00A92CD7"/>
    <w:rsid w:val="00A94CC1"/>
    <w:rsid w:val="00A95FD1"/>
    <w:rsid w:val="00AA2E95"/>
    <w:rsid w:val="00AA556C"/>
    <w:rsid w:val="00AB1D56"/>
    <w:rsid w:val="00AB34FB"/>
    <w:rsid w:val="00AB6047"/>
    <w:rsid w:val="00AC380B"/>
    <w:rsid w:val="00AC4023"/>
    <w:rsid w:val="00AC6B20"/>
    <w:rsid w:val="00AC6F10"/>
    <w:rsid w:val="00AC79B0"/>
    <w:rsid w:val="00AC7CEC"/>
    <w:rsid w:val="00AD08CC"/>
    <w:rsid w:val="00AD4869"/>
    <w:rsid w:val="00AD4DE1"/>
    <w:rsid w:val="00AE05AC"/>
    <w:rsid w:val="00AE07E6"/>
    <w:rsid w:val="00AF3DD0"/>
    <w:rsid w:val="00B00205"/>
    <w:rsid w:val="00B01DE2"/>
    <w:rsid w:val="00B02CA8"/>
    <w:rsid w:val="00B02F03"/>
    <w:rsid w:val="00B048AA"/>
    <w:rsid w:val="00B0796B"/>
    <w:rsid w:val="00B1435A"/>
    <w:rsid w:val="00B16C40"/>
    <w:rsid w:val="00B21021"/>
    <w:rsid w:val="00B21C9A"/>
    <w:rsid w:val="00B27360"/>
    <w:rsid w:val="00B337C3"/>
    <w:rsid w:val="00B35230"/>
    <w:rsid w:val="00B36D54"/>
    <w:rsid w:val="00B40C24"/>
    <w:rsid w:val="00B45F3A"/>
    <w:rsid w:val="00B46357"/>
    <w:rsid w:val="00B47539"/>
    <w:rsid w:val="00B53A99"/>
    <w:rsid w:val="00B54E3D"/>
    <w:rsid w:val="00B569A3"/>
    <w:rsid w:val="00B61EE8"/>
    <w:rsid w:val="00B62BD8"/>
    <w:rsid w:val="00B6312D"/>
    <w:rsid w:val="00B7061B"/>
    <w:rsid w:val="00B72AC4"/>
    <w:rsid w:val="00B83293"/>
    <w:rsid w:val="00B83B5E"/>
    <w:rsid w:val="00B96441"/>
    <w:rsid w:val="00BA1086"/>
    <w:rsid w:val="00BA2D9F"/>
    <w:rsid w:val="00BA5F15"/>
    <w:rsid w:val="00BA67AB"/>
    <w:rsid w:val="00BB500F"/>
    <w:rsid w:val="00BB643D"/>
    <w:rsid w:val="00BD1381"/>
    <w:rsid w:val="00BD3C54"/>
    <w:rsid w:val="00BD5F75"/>
    <w:rsid w:val="00BE1C47"/>
    <w:rsid w:val="00BE4F10"/>
    <w:rsid w:val="00BF0D64"/>
    <w:rsid w:val="00BF6E6A"/>
    <w:rsid w:val="00BF73A4"/>
    <w:rsid w:val="00C008EE"/>
    <w:rsid w:val="00C01BC1"/>
    <w:rsid w:val="00C0336A"/>
    <w:rsid w:val="00C03DE3"/>
    <w:rsid w:val="00C133A6"/>
    <w:rsid w:val="00C14D76"/>
    <w:rsid w:val="00C1709B"/>
    <w:rsid w:val="00C207A7"/>
    <w:rsid w:val="00C2415D"/>
    <w:rsid w:val="00C278D3"/>
    <w:rsid w:val="00C31ECC"/>
    <w:rsid w:val="00C409CC"/>
    <w:rsid w:val="00C41865"/>
    <w:rsid w:val="00C45CC5"/>
    <w:rsid w:val="00C46530"/>
    <w:rsid w:val="00C46CCD"/>
    <w:rsid w:val="00C4712B"/>
    <w:rsid w:val="00C52161"/>
    <w:rsid w:val="00C52BCC"/>
    <w:rsid w:val="00C5457D"/>
    <w:rsid w:val="00C54FBC"/>
    <w:rsid w:val="00C61CC4"/>
    <w:rsid w:val="00C66DED"/>
    <w:rsid w:val="00C6736A"/>
    <w:rsid w:val="00C748FF"/>
    <w:rsid w:val="00C74D7A"/>
    <w:rsid w:val="00C82550"/>
    <w:rsid w:val="00C86925"/>
    <w:rsid w:val="00C923A9"/>
    <w:rsid w:val="00C92466"/>
    <w:rsid w:val="00C92C82"/>
    <w:rsid w:val="00C9316E"/>
    <w:rsid w:val="00C93B11"/>
    <w:rsid w:val="00C93BA4"/>
    <w:rsid w:val="00C95260"/>
    <w:rsid w:val="00CA205F"/>
    <w:rsid w:val="00CA3E9B"/>
    <w:rsid w:val="00CA6CB7"/>
    <w:rsid w:val="00CB5C04"/>
    <w:rsid w:val="00CC1869"/>
    <w:rsid w:val="00CC623A"/>
    <w:rsid w:val="00CD6E2F"/>
    <w:rsid w:val="00CD6F5E"/>
    <w:rsid w:val="00CE0D2C"/>
    <w:rsid w:val="00CE1018"/>
    <w:rsid w:val="00CE57CF"/>
    <w:rsid w:val="00CE732B"/>
    <w:rsid w:val="00CF33E5"/>
    <w:rsid w:val="00D02045"/>
    <w:rsid w:val="00D028E1"/>
    <w:rsid w:val="00D03A28"/>
    <w:rsid w:val="00D05432"/>
    <w:rsid w:val="00D10507"/>
    <w:rsid w:val="00D1215D"/>
    <w:rsid w:val="00D16204"/>
    <w:rsid w:val="00D30D7B"/>
    <w:rsid w:val="00D3242E"/>
    <w:rsid w:val="00D336F7"/>
    <w:rsid w:val="00D34508"/>
    <w:rsid w:val="00D37AB5"/>
    <w:rsid w:val="00D4189B"/>
    <w:rsid w:val="00D543BD"/>
    <w:rsid w:val="00D54C12"/>
    <w:rsid w:val="00D65E1A"/>
    <w:rsid w:val="00D679F0"/>
    <w:rsid w:val="00D72490"/>
    <w:rsid w:val="00D80338"/>
    <w:rsid w:val="00D87C74"/>
    <w:rsid w:val="00D904EE"/>
    <w:rsid w:val="00D91221"/>
    <w:rsid w:val="00D93194"/>
    <w:rsid w:val="00D94331"/>
    <w:rsid w:val="00D95BB1"/>
    <w:rsid w:val="00D95F8E"/>
    <w:rsid w:val="00D96163"/>
    <w:rsid w:val="00DA1712"/>
    <w:rsid w:val="00DA3B7A"/>
    <w:rsid w:val="00DA7BA2"/>
    <w:rsid w:val="00DA7C62"/>
    <w:rsid w:val="00DC650C"/>
    <w:rsid w:val="00DD0322"/>
    <w:rsid w:val="00DD0544"/>
    <w:rsid w:val="00DD59DF"/>
    <w:rsid w:val="00DD74D9"/>
    <w:rsid w:val="00DE13EF"/>
    <w:rsid w:val="00DE264A"/>
    <w:rsid w:val="00DE6F72"/>
    <w:rsid w:val="00DE7413"/>
    <w:rsid w:val="00DF3741"/>
    <w:rsid w:val="00DF4226"/>
    <w:rsid w:val="00E0284F"/>
    <w:rsid w:val="00E03A03"/>
    <w:rsid w:val="00E06128"/>
    <w:rsid w:val="00E142B0"/>
    <w:rsid w:val="00E22F21"/>
    <w:rsid w:val="00E26201"/>
    <w:rsid w:val="00E30A22"/>
    <w:rsid w:val="00E3351C"/>
    <w:rsid w:val="00E34191"/>
    <w:rsid w:val="00E37A0C"/>
    <w:rsid w:val="00E41D4D"/>
    <w:rsid w:val="00E441BA"/>
    <w:rsid w:val="00E55726"/>
    <w:rsid w:val="00E60FE6"/>
    <w:rsid w:val="00E6296C"/>
    <w:rsid w:val="00E633D1"/>
    <w:rsid w:val="00E63DD8"/>
    <w:rsid w:val="00E64E3A"/>
    <w:rsid w:val="00E74AC1"/>
    <w:rsid w:val="00E826FA"/>
    <w:rsid w:val="00E842E5"/>
    <w:rsid w:val="00E8442E"/>
    <w:rsid w:val="00E873E7"/>
    <w:rsid w:val="00E94A0E"/>
    <w:rsid w:val="00EA345D"/>
    <w:rsid w:val="00EA4826"/>
    <w:rsid w:val="00EA582C"/>
    <w:rsid w:val="00EB18DF"/>
    <w:rsid w:val="00EB6D39"/>
    <w:rsid w:val="00EB7ACE"/>
    <w:rsid w:val="00EC2D52"/>
    <w:rsid w:val="00EC354B"/>
    <w:rsid w:val="00EC54BB"/>
    <w:rsid w:val="00EC5938"/>
    <w:rsid w:val="00EE005B"/>
    <w:rsid w:val="00EE20C5"/>
    <w:rsid w:val="00EE2125"/>
    <w:rsid w:val="00EE322F"/>
    <w:rsid w:val="00EE4C65"/>
    <w:rsid w:val="00F04EA8"/>
    <w:rsid w:val="00F04F0B"/>
    <w:rsid w:val="00F22F9E"/>
    <w:rsid w:val="00F259A5"/>
    <w:rsid w:val="00F267AE"/>
    <w:rsid w:val="00F30C4B"/>
    <w:rsid w:val="00F3585F"/>
    <w:rsid w:val="00F40A66"/>
    <w:rsid w:val="00F430F8"/>
    <w:rsid w:val="00F60570"/>
    <w:rsid w:val="00F737D1"/>
    <w:rsid w:val="00F738BE"/>
    <w:rsid w:val="00F741E2"/>
    <w:rsid w:val="00F752C4"/>
    <w:rsid w:val="00F806E6"/>
    <w:rsid w:val="00F80A97"/>
    <w:rsid w:val="00F865E0"/>
    <w:rsid w:val="00F9130F"/>
    <w:rsid w:val="00F94768"/>
    <w:rsid w:val="00F95ACB"/>
    <w:rsid w:val="00F97C12"/>
    <w:rsid w:val="00FA16F3"/>
    <w:rsid w:val="00FA2ED7"/>
    <w:rsid w:val="00FA6B02"/>
    <w:rsid w:val="00FA7901"/>
    <w:rsid w:val="00FB2AEB"/>
    <w:rsid w:val="00FC109B"/>
    <w:rsid w:val="00FC29A5"/>
    <w:rsid w:val="00FD0DAC"/>
    <w:rsid w:val="00FD19FF"/>
    <w:rsid w:val="00FE0FC7"/>
    <w:rsid w:val="00FE21CC"/>
    <w:rsid w:val="00FE6A07"/>
    <w:rsid w:val="00FE701D"/>
    <w:rsid w:val="00FE7335"/>
    <w:rsid w:val="00FF178A"/>
    <w:rsid w:val="00FF2891"/>
    <w:rsid w:val="00FF2B08"/>
    <w:rsid w:val="00FF4767"/>
    <w:rsid w:val="00FF651A"/>
    <w:rsid w:val="09837E33"/>
    <w:rsid w:val="10935CA8"/>
    <w:rsid w:val="2BBD94D8"/>
    <w:rsid w:val="3656FE6B"/>
    <w:rsid w:val="505B4C81"/>
    <w:rsid w:val="5E778071"/>
    <w:rsid w:val="60B98751"/>
    <w:rsid w:val="683012B4"/>
    <w:rsid w:val="6D4D2B01"/>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8D0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A0C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471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CC9"/>
    <w:pPr>
      <w:spacing w:before="100" w:beforeAutospacing="1" w:after="100" w:afterAutospacing="1"/>
    </w:pPr>
    <w:rPr>
      <w:rFonts w:ascii="Times" w:hAnsi="Times" w:cs="Times New Roman"/>
      <w:sz w:val="20"/>
      <w:szCs w:val="20"/>
    </w:rPr>
  </w:style>
  <w:style w:type="paragraph" w:styleId="ListParagraph">
    <w:name w:val="List Paragraph"/>
    <w:basedOn w:val="Normal"/>
    <w:uiPriority w:val="99"/>
    <w:qFormat/>
    <w:rsid w:val="00A90CC9"/>
    <w:pPr>
      <w:ind w:left="720"/>
      <w:contextualSpacing/>
    </w:pPr>
  </w:style>
  <w:style w:type="character" w:styleId="Hyperlink">
    <w:name w:val="Hyperlink"/>
    <w:basedOn w:val="DefaultParagraphFont"/>
    <w:uiPriority w:val="99"/>
    <w:unhideWhenUsed/>
    <w:rsid w:val="00C1709B"/>
    <w:rPr>
      <w:color w:val="0000FF" w:themeColor="hyperlink"/>
      <w:u w:val="single"/>
    </w:rPr>
  </w:style>
  <w:style w:type="paragraph" w:customStyle="1" w:styleId="Body">
    <w:name w:val="Body"/>
    <w:rsid w:val="00F04F0B"/>
    <w:pPr>
      <w:pBdr>
        <w:top w:val="nil"/>
        <w:left w:val="nil"/>
        <w:bottom w:val="nil"/>
        <w:right w:val="nil"/>
        <w:between w:val="nil"/>
        <w:bar w:val="nil"/>
      </w:pBdr>
    </w:pPr>
    <w:rPr>
      <w:rFonts w:ascii="Cambria" w:eastAsia="Cambria" w:hAnsi="Cambria" w:cs="Cambria"/>
      <w:color w:val="000000"/>
      <w:u w:color="000000"/>
      <w:bdr w:val="nil"/>
    </w:rPr>
  </w:style>
  <w:style w:type="character" w:styleId="CommentReference">
    <w:name w:val="annotation reference"/>
    <w:basedOn w:val="DefaultParagraphFont"/>
    <w:uiPriority w:val="99"/>
    <w:semiHidden/>
    <w:unhideWhenUsed/>
    <w:rsid w:val="00A63CB8"/>
    <w:rPr>
      <w:sz w:val="18"/>
      <w:szCs w:val="18"/>
    </w:rPr>
  </w:style>
  <w:style w:type="paragraph" w:styleId="CommentText">
    <w:name w:val="annotation text"/>
    <w:basedOn w:val="Normal"/>
    <w:link w:val="CommentTextChar"/>
    <w:uiPriority w:val="99"/>
    <w:semiHidden/>
    <w:unhideWhenUsed/>
    <w:rsid w:val="00A63CB8"/>
  </w:style>
  <w:style w:type="character" w:customStyle="1" w:styleId="CommentTextChar">
    <w:name w:val="Comment Text Char"/>
    <w:basedOn w:val="DefaultParagraphFont"/>
    <w:link w:val="CommentText"/>
    <w:uiPriority w:val="99"/>
    <w:semiHidden/>
    <w:rsid w:val="00A63CB8"/>
    <w:rPr>
      <w:lang w:val="en-GB"/>
    </w:rPr>
  </w:style>
  <w:style w:type="paragraph" w:styleId="CommentSubject">
    <w:name w:val="annotation subject"/>
    <w:basedOn w:val="CommentText"/>
    <w:next w:val="CommentText"/>
    <w:link w:val="CommentSubjectChar"/>
    <w:uiPriority w:val="99"/>
    <w:semiHidden/>
    <w:unhideWhenUsed/>
    <w:rsid w:val="00A63CB8"/>
    <w:rPr>
      <w:b/>
      <w:bCs/>
      <w:sz w:val="20"/>
      <w:szCs w:val="20"/>
    </w:rPr>
  </w:style>
  <w:style w:type="character" w:customStyle="1" w:styleId="CommentSubjectChar">
    <w:name w:val="Comment Subject Char"/>
    <w:basedOn w:val="CommentTextChar"/>
    <w:link w:val="CommentSubject"/>
    <w:uiPriority w:val="99"/>
    <w:semiHidden/>
    <w:rsid w:val="00A63CB8"/>
    <w:rPr>
      <w:b/>
      <w:bCs/>
      <w:sz w:val="20"/>
      <w:szCs w:val="20"/>
      <w:lang w:val="en-GB"/>
    </w:rPr>
  </w:style>
  <w:style w:type="paragraph" w:styleId="BalloonText">
    <w:name w:val="Balloon Text"/>
    <w:basedOn w:val="Normal"/>
    <w:link w:val="BalloonTextChar"/>
    <w:uiPriority w:val="99"/>
    <w:semiHidden/>
    <w:unhideWhenUsed/>
    <w:rsid w:val="00A63C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CB8"/>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CA3E9B"/>
  </w:style>
  <w:style w:type="character" w:customStyle="1" w:styleId="FootnoteTextChar">
    <w:name w:val="Footnote Text Char"/>
    <w:basedOn w:val="DefaultParagraphFont"/>
    <w:link w:val="FootnoteText"/>
    <w:uiPriority w:val="99"/>
    <w:rsid w:val="00CA3E9B"/>
    <w:rPr>
      <w:lang w:val="en-GB"/>
    </w:rPr>
  </w:style>
  <w:style w:type="character" w:styleId="FootnoteReference">
    <w:name w:val="footnote reference"/>
    <w:basedOn w:val="DefaultParagraphFont"/>
    <w:uiPriority w:val="99"/>
    <w:unhideWhenUsed/>
    <w:rsid w:val="00CA3E9B"/>
    <w:rPr>
      <w:vertAlign w:val="superscript"/>
    </w:rPr>
  </w:style>
  <w:style w:type="paragraph" w:styleId="Footer">
    <w:name w:val="footer"/>
    <w:basedOn w:val="Normal"/>
    <w:link w:val="FooterChar"/>
    <w:uiPriority w:val="99"/>
    <w:unhideWhenUsed/>
    <w:rsid w:val="00DD74D9"/>
    <w:pPr>
      <w:tabs>
        <w:tab w:val="center" w:pos="4320"/>
        <w:tab w:val="right" w:pos="8640"/>
      </w:tabs>
    </w:pPr>
  </w:style>
  <w:style w:type="character" w:customStyle="1" w:styleId="FooterChar">
    <w:name w:val="Footer Char"/>
    <w:basedOn w:val="DefaultParagraphFont"/>
    <w:link w:val="Footer"/>
    <w:uiPriority w:val="99"/>
    <w:rsid w:val="00DD74D9"/>
    <w:rPr>
      <w:lang w:val="en-GB"/>
    </w:rPr>
  </w:style>
  <w:style w:type="character" w:styleId="PageNumber">
    <w:name w:val="page number"/>
    <w:basedOn w:val="DefaultParagraphFont"/>
    <w:uiPriority w:val="99"/>
    <w:semiHidden/>
    <w:unhideWhenUsed/>
    <w:rsid w:val="00DD74D9"/>
  </w:style>
  <w:style w:type="character" w:customStyle="1" w:styleId="Heading2Char">
    <w:name w:val="Heading 2 Char"/>
    <w:basedOn w:val="DefaultParagraphFont"/>
    <w:link w:val="Heading2"/>
    <w:uiPriority w:val="9"/>
    <w:semiHidden/>
    <w:rsid w:val="00C4712B"/>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0A0C56"/>
    <w:rPr>
      <w:rFonts w:asciiTheme="majorHAnsi" w:eastAsiaTheme="majorEastAsia" w:hAnsiTheme="majorHAnsi" w:cstheme="majorBidi"/>
      <w:b/>
      <w:bCs/>
      <w:color w:val="345A8A" w:themeColor="accent1" w:themeShade="B5"/>
      <w:sz w:val="32"/>
      <w:szCs w:val="32"/>
      <w:lang w:val="en-GB"/>
    </w:rPr>
  </w:style>
  <w:style w:type="character" w:styleId="FollowedHyperlink">
    <w:name w:val="FollowedHyperlink"/>
    <w:basedOn w:val="DefaultParagraphFont"/>
    <w:uiPriority w:val="99"/>
    <w:semiHidden/>
    <w:unhideWhenUsed/>
    <w:rsid w:val="0088222F"/>
    <w:rPr>
      <w:color w:val="800080" w:themeColor="followedHyperlink"/>
      <w:u w:val="single"/>
    </w:rPr>
  </w:style>
  <w:style w:type="character" w:styleId="HTMLCite">
    <w:name w:val="HTML Cite"/>
    <w:basedOn w:val="DefaultParagraphFont"/>
    <w:uiPriority w:val="99"/>
    <w:semiHidden/>
    <w:unhideWhenUsed/>
    <w:rsid w:val="006B6FE4"/>
    <w:rPr>
      <w:i/>
      <w:iCs/>
    </w:rPr>
  </w:style>
  <w:style w:type="paragraph" w:styleId="Revision">
    <w:name w:val="Revision"/>
    <w:hidden/>
    <w:uiPriority w:val="99"/>
    <w:semiHidden/>
    <w:rsid w:val="00264153"/>
    <w:rPr>
      <w:lang w:val="en-GB"/>
    </w:rPr>
  </w:style>
  <w:style w:type="character" w:customStyle="1" w:styleId="slug-metadata-note">
    <w:name w:val="slug-metadata-note"/>
    <w:basedOn w:val="DefaultParagraphFont"/>
    <w:rsid w:val="00C92C82"/>
  </w:style>
  <w:style w:type="character" w:customStyle="1" w:styleId="slug-doi">
    <w:name w:val="slug-doi"/>
    <w:basedOn w:val="DefaultParagraphFont"/>
    <w:rsid w:val="00C92C82"/>
  </w:style>
  <w:style w:type="paragraph" w:styleId="Header">
    <w:name w:val="header"/>
    <w:basedOn w:val="Normal"/>
    <w:link w:val="HeaderChar"/>
    <w:uiPriority w:val="99"/>
    <w:unhideWhenUsed/>
    <w:rsid w:val="009A360C"/>
    <w:pPr>
      <w:tabs>
        <w:tab w:val="center" w:pos="4320"/>
        <w:tab w:val="right" w:pos="8640"/>
      </w:tabs>
    </w:pPr>
  </w:style>
  <w:style w:type="character" w:customStyle="1" w:styleId="HeaderChar">
    <w:name w:val="Header Char"/>
    <w:basedOn w:val="DefaultParagraphFont"/>
    <w:link w:val="Header"/>
    <w:uiPriority w:val="99"/>
    <w:rsid w:val="009A360C"/>
    <w:rPr>
      <w:lang w:val="en-GB"/>
    </w:rPr>
  </w:style>
  <w:style w:type="paragraph" w:styleId="EndnoteText">
    <w:name w:val="endnote text"/>
    <w:basedOn w:val="Normal"/>
    <w:link w:val="EndnoteTextChar"/>
    <w:uiPriority w:val="99"/>
    <w:unhideWhenUsed/>
    <w:rsid w:val="006F4D62"/>
  </w:style>
  <w:style w:type="character" w:customStyle="1" w:styleId="EndnoteTextChar">
    <w:name w:val="Endnote Text Char"/>
    <w:basedOn w:val="DefaultParagraphFont"/>
    <w:link w:val="EndnoteText"/>
    <w:uiPriority w:val="99"/>
    <w:rsid w:val="006F4D62"/>
    <w:rPr>
      <w:lang w:val="en-GB"/>
    </w:rPr>
  </w:style>
  <w:style w:type="character" w:styleId="EndnoteReference">
    <w:name w:val="endnote reference"/>
    <w:basedOn w:val="DefaultParagraphFont"/>
    <w:uiPriority w:val="99"/>
    <w:unhideWhenUsed/>
    <w:rsid w:val="006F4D6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A0C5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471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0CC9"/>
    <w:pPr>
      <w:spacing w:before="100" w:beforeAutospacing="1" w:after="100" w:afterAutospacing="1"/>
    </w:pPr>
    <w:rPr>
      <w:rFonts w:ascii="Times" w:hAnsi="Times" w:cs="Times New Roman"/>
      <w:sz w:val="20"/>
      <w:szCs w:val="20"/>
    </w:rPr>
  </w:style>
  <w:style w:type="paragraph" w:styleId="ListParagraph">
    <w:name w:val="List Paragraph"/>
    <w:basedOn w:val="Normal"/>
    <w:uiPriority w:val="99"/>
    <w:qFormat/>
    <w:rsid w:val="00A90CC9"/>
    <w:pPr>
      <w:ind w:left="720"/>
      <w:contextualSpacing/>
    </w:pPr>
  </w:style>
  <w:style w:type="character" w:styleId="Hyperlink">
    <w:name w:val="Hyperlink"/>
    <w:basedOn w:val="DefaultParagraphFont"/>
    <w:uiPriority w:val="99"/>
    <w:unhideWhenUsed/>
    <w:rsid w:val="00C1709B"/>
    <w:rPr>
      <w:color w:val="0000FF" w:themeColor="hyperlink"/>
      <w:u w:val="single"/>
    </w:rPr>
  </w:style>
  <w:style w:type="paragraph" w:customStyle="1" w:styleId="Body">
    <w:name w:val="Body"/>
    <w:rsid w:val="00F04F0B"/>
    <w:pPr>
      <w:pBdr>
        <w:top w:val="nil"/>
        <w:left w:val="nil"/>
        <w:bottom w:val="nil"/>
        <w:right w:val="nil"/>
        <w:between w:val="nil"/>
        <w:bar w:val="nil"/>
      </w:pBdr>
    </w:pPr>
    <w:rPr>
      <w:rFonts w:ascii="Cambria" w:eastAsia="Cambria" w:hAnsi="Cambria" w:cs="Cambria"/>
      <w:color w:val="000000"/>
      <w:u w:color="000000"/>
      <w:bdr w:val="nil"/>
    </w:rPr>
  </w:style>
  <w:style w:type="character" w:styleId="CommentReference">
    <w:name w:val="annotation reference"/>
    <w:basedOn w:val="DefaultParagraphFont"/>
    <w:uiPriority w:val="99"/>
    <w:semiHidden/>
    <w:unhideWhenUsed/>
    <w:rsid w:val="00A63CB8"/>
    <w:rPr>
      <w:sz w:val="18"/>
      <w:szCs w:val="18"/>
    </w:rPr>
  </w:style>
  <w:style w:type="paragraph" w:styleId="CommentText">
    <w:name w:val="annotation text"/>
    <w:basedOn w:val="Normal"/>
    <w:link w:val="CommentTextChar"/>
    <w:uiPriority w:val="99"/>
    <w:semiHidden/>
    <w:unhideWhenUsed/>
    <w:rsid w:val="00A63CB8"/>
  </w:style>
  <w:style w:type="character" w:customStyle="1" w:styleId="CommentTextChar">
    <w:name w:val="Comment Text Char"/>
    <w:basedOn w:val="DefaultParagraphFont"/>
    <w:link w:val="CommentText"/>
    <w:uiPriority w:val="99"/>
    <w:semiHidden/>
    <w:rsid w:val="00A63CB8"/>
    <w:rPr>
      <w:lang w:val="en-GB"/>
    </w:rPr>
  </w:style>
  <w:style w:type="paragraph" w:styleId="CommentSubject">
    <w:name w:val="annotation subject"/>
    <w:basedOn w:val="CommentText"/>
    <w:next w:val="CommentText"/>
    <w:link w:val="CommentSubjectChar"/>
    <w:uiPriority w:val="99"/>
    <w:semiHidden/>
    <w:unhideWhenUsed/>
    <w:rsid w:val="00A63CB8"/>
    <w:rPr>
      <w:b/>
      <w:bCs/>
      <w:sz w:val="20"/>
      <w:szCs w:val="20"/>
    </w:rPr>
  </w:style>
  <w:style w:type="character" w:customStyle="1" w:styleId="CommentSubjectChar">
    <w:name w:val="Comment Subject Char"/>
    <w:basedOn w:val="CommentTextChar"/>
    <w:link w:val="CommentSubject"/>
    <w:uiPriority w:val="99"/>
    <w:semiHidden/>
    <w:rsid w:val="00A63CB8"/>
    <w:rPr>
      <w:b/>
      <w:bCs/>
      <w:sz w:val="20"/>
      <w:szCs w:val="20"/>
      <w:lang w:val="en-GB"/>
    </w:rPr>
  </w:style>
  <w:style w:type="paragraph" w:styleId="BalloonText">
    <w:name w:val="Balloon Text"/>
    <w:basedOn w:val="Normal"/>
    <w:link w:val="BalloonTextChar"/>
    <w:uiPriority w:val="99"/>
    <w:semiHidden/>
    <w:unhideWhenUsed/>
    <w:rsid w:val="00A63C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63CB8"/>
    <w:rPr>
      <w:rFonts w:ascii="Lucida Grande" w:hAnsi="Lucida Grande" w:cs="Lucida Grande"/>
      <w:sz w:val="18"/>
      <w:szCs w:val="18"/>
      <w:lang w:val="en-GB"/>
    </w:rPr>
  </w:style>
  <w:style w:type="paragraph" w:styleId="FootnoteText">
    <w:name w:val="footnote text"/>
    <w:basedOn w:val="Normal"/>
    <w:link w:val="FootnoteTextChar"/>
    <w:uiPriority w:val="99"/>
    <w:unhideWhenUsed/>
    <w:rsid w:val="00CA3E9B"/>
  </w:style>
  <w:style w:type="character" w:customStyle="1" w:styleId="FootnoteTextChar">
    <w:name w:val="Footnote Text Char"/>
    <w:basedOn w:val="DefaultParagraphFont"/>
    <w:link w:val="FootnoteText"/>
    <w:uiPriority w:val="99"/>
    <w:rsid w:val="00CA3E9B"/>
    <w:rPr>
      <w:lang w:val="en-GB"/>
    </w:rPr>
  </w:style>
  <w:style w:type="character" w:styleId="FootnoteReference">
    <w:name w:val="footnote reference"/>
    <w:basedOn w:val="DefaultParagraphFont"/>
    <w:uiPriority w:val="99"/>
    <w:unhideWhenUsed/>
    <w:rsid w:val="00CA3E9B"/>
    <w:rPr>
      <w:vertAlign w:val="superscript"/>
    </w:rPr>
  </w:style>
  <w:style w:type="paragraph" w:styleId="Footer">
    <w:name w:val="footer"/>
    <w:basedOn w:val="Normal"/>
    <w:link w:val="FooterChar"/>
    <w:uiPriority w:val="99"/>
    <w:unhideWhenUsed/>
    <w:rsid w:val="00DD74D9"/>
    <w:pPr>
      <w:tabs>
        <w:tab w:val="center" w:pos="4320"/>
        <w:tab w:val="right" w:pos="8640"/>
      </w:tabs>
    </w:pPr>
  </w:style>
  <w:style w:type="character" w:customStyle="1" w:styleId="FooterChar">
    <w:name w:val="Footer Char"/>
    <w:basedOn w:val="DefaultParagraphFont"/>
    <w:link w:val="Footer"/>
    <w:uiPriority w:val="99"/>
    <w:rsid w:val="00DD74D9"/>
    <w:rPr>
      <w:lang w:val="en-GB"/>
    </w:rPr>
  </w:style>
  <w:style w:type="character" w:styleId="PageNumber">
    <w:name w:val="page number"/>
    <w:basedOn w:val="DefaultParagraphFont"/>
    <w:uiPriority w:val="99"/>
    <w:semiHidden/>
    <w:unhideWhenUsed/>
    <w:rsid w:val="00DD74D9"/>
  </w:style>
  <w:style w:type="character" w:customStyle="1" w:styleId="Heading2Char">
    <w:name w:val="Heading 2 Char"/>
    <w:basedOn w:val="DefaultParagraphFont"/>
    <w:link w:val="Heading2"/>
    <w:uiPriority w:val="9"/>
    <w:semiHidden/>
    <w:rsid w:val="00C4712B"/>
    <w:rPr>
      <w:rFonts w:asciiTheme="majorHAnsi" w:eastAsiaTheme="majorEastAsia" w:hAnsiTheme="majorHAnsi" w:cstheme="majorBidi"/>
      <w:b/>
      <w:bCs/>
      <w:color w:val="4F81BD" w:themeColor="accent1"/>
      <w:sz w:val="26"/>
      <w:szCs w:val="26"/>
      <w:lang w:val="en-GB"/>
    </w:rPr>
  </w:style>
  <w:style w:type="character" w:customStyle="1" w:styleId="Heading1Char">
    <w:name w:val="Heading 1 Char"/>
    <w:basedOn w:val="DefaultParagraphFont"/>
    <w:link w:val="Heading1"/>
    <w:uiPriority w:val="9"/>
    <w:rsid w:val="000A0C56"/>
    <w:rPr>
      <w:rFonts w:asciiTheme="majorHAnsi" w:eastAsiaTheme="majorEastAsia" w:hAnsiTheme="majorHAnsi" w:cstheme="majorBidi"/>
      <w:b/>
      <w:bCs/>
      <w:color w:val="345A8A" w:themeColor="accent1" w:themeShade="B5"/>
      <w:sz w:val="32"/>
      <w:szCs w:val="32"/>
      <w:lang w:val="en-GB"/>
    </w:rPr>
  </w:style>
  <w:style w:type="character" w:styleId="FollowedHyperlink">
    <w:name w:val="FollowedHyperlink"/>
    <w:basedOn w:val="DefaultParagraphFont"/>
    <w:uiPriority w:val="99"/>
    <w:semiHidden/>
    <w:unhideWhenUsed/>
    <w:rsid w:val="0088222F"/>
    <w:rPr>
      <w:color w:val="800080" w:themeColor="followedHyperlink"/>
      <w:u w:val="single"/>
    </w:rPr>
  </w:style>
  <w:style w:type="character" w:styleId="HTMLCite">
    <w:name w:val="HTML Cite"/>
    <w:basedOn w:val="DefaultParagraphFont"/>
    <w:uiPriority w:val="99"/>
    <w:semiHidden/>
    <w:unhideWhenUsed/>
    <w:rsid w:val="006B6FE4"/>
    <w:rPr>
      <w:i/>
      <w:iCs/>
    </w:rPr>
  </w:style>
  <w:style w:type="paragraph" w:styleId="Revision">
    <w:name w:val="Revision"/>
    <w:hidden/>
    <w:uiPriority w:val="99"/>
    <w:semiHidden/>
    <w:rsid w:val="00264153"/>
    <w:rPr>
      <w:lang w:val="en-GB"/>
    </w:rPr>
  </w:style>
  <w:style w:type="character" w:customStyle="1" w:styleId="slug-metadata-note">
    <w:name w:val="slug-metadata-note"/>
    <w:basedOn w:val="DefaultParagraphFont"/>
    <w:rsid w:val="00C92C82"/>
  </w:style>
  <w:style w:type="character" w:customStyle="1" w:styleId="slug-doi">
    <w:name w:val="slug-doi"/>
    <w:basedOn w:val="DefaultParagraphFont"/>
    <w:rsid w:val="00C92C82"/>
  </w:style>
  <w:style w:type="paragraph" w:styleId="Header">
    <w:name w:val="header"/>
    <w:basedOn w:val="Normal"/>
    <w:link w:val="HeaderChar"/>
    <w:uiPriority w:val="99"/>
    <w:unhideWhenUsed/>
    <w:rsid w:val="009A360C"/>
    <w:pPr>
      <w:tabs>
        <w:tab w:val="center" w:pos="4320"/>
        <w:tab w:val="right" w:pos="8640"/>
      </w:tabs>
    </w:pPr>
  </w:style>
  <w:style w:type="character" w:customStyle="1" w:styleId="HeaderChar">
    <w:name w:val="Header Char"/>
    <w:basedOn w:val="DefaultParagraphFont"/>
    <w:link w:val="Header"/>
    <w:uiPriority w:val="99"/>
    <w:rsid w:val="009A360C"/>
    <w:rPr>
      <w:lang w:val="en-GB"/>
    </w:rPr>
  </w:style>
  <w:style w:type="paragraph" w:styleId="EndnoteText">
    <w:name w:val="endnote text"/>
    <w:basedOn w:val="Normal"/>
    <w:link w:val="EndnoteTextChar"/>
    <w:uiPriority w:val="99"/>
    <w:unhideWhenUsed/>
    <w:rsid w:val="006F4D62"/>
  </w:style>
  <w:style w:type="character" w:customStyle="1" w:styleId="EndnoteTextChar">
    <w:name w:val="Endnote Text Char"/>
    <w:basedOn w:val="DefaultParagraphFont"/>
    <w:link w:val="EndnoteText"/>
    <w:uiPriority w:val="99"/>
    <w:rsid w:val="006F4D62"/>
    <w:rPr>
      <w:lang w:val="en-GB"/>
    </w:rPr>
  </w:style>
  <w:style w:type="character" w:styleId="EndnoteReference">
    <w:name w:val="endnote reference"/>
    <w:basedOn w:val="DefaultParagraphFont"/>
    <w:uiPriority w:val="99"/>
    <w:unhideWhenUsed/>
    <w:rsid w:val="006F4D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1225">
      <w:bodyDiv w:val="1"/>
      <w:marLeft w:val="0"/>
      <w:marRight w:val="0"/>
      <w:marTop w:val="0"/>
      <w:marBottom w:val="0"/>
      <w:divBdr>
        <w:top w:val="none" w:sz="0" w:space="0" w:color="auto"/>
        <w:left w:val="none" w:sz="0" w:space="0" w:color="auto"/>
        <w:bottom w:val="none" w:sz="0" w:space="0" w:color="auto"/>
        <w:right w:val="none" w:sz="0" w:space="0" w:color="auto"/>
      </w:divBdr>
      <w:divsChild>
        <w:div w:id="906232362">
          <w:marLeft w:val="0"/>
          <w:marRight w:val="0"/>
          <w:marTop w:val="0"/>
          <w:marBottom w:val="0"/>
          <w:divBdr>
            <w:top w:val="none" w:sz="0" w:space="0" w:color="auto"/>
            <w:left w:val="none" w:sz="0" w:space="0" w:color="auto"/>
            <w:bottom w:val="none" w:sz="0" w:space="0" w:color="auto"/>
            <w:right w:val="none" w:sz="0" w:space="0" w:color="auto"/>
          </w:divBdr>
        </w:div>
      </w:divsChild>
    </w:div>
    <w:div w:id="158466304">
      <w:bodyDiv w:val="1"/>
      <w:marLeft w:val="0"/>
      <w:marRight w:val="0"/>
      <w:marTop w:val="0"/>
      <w:marBottom w:val="0"/>
      <w:divBdr>
        <w:top w:val="none" w:sz="0" w:space="0" w:color="auto"/>
        <w:left w:val="none" w:sz="0" w:space="0" w:color="auto"/>
        <w:bottom w:val="none" w:sz="0" w:space="0" w:color="auto"/>
        <w:right w:val="none" w:sz="0" w:space="0" w:color="auto"/>
      </w:divBdr>
    </w:div>
    <w:div w:id="165436797">
      <w:bodyDiv w:val="1"/>
      <w:marLeft w:val="0"/>
      <w:marRight w:val="0"/>
      <w:marTop w:val="0"/>
      <w:marBottom w:val="0"/>
      <w:divBdr>
        <w:top w:val="none" w:sz="0" w:space="0" w:color="auto"/>
        <w:left w:val="none" w:sz="0" w:space="0" w:color="auto"/>
        <w:bottom w:val="none" w:sz="0" w:space="0" w:color="auto"/>
        <w:right w:val="none" w:sz="0" w:space="0" w:color="auto"/>
      </w:divBdr>
      <w:divsChild>
        <w:div w:id="124545395">
          <w:marLeft w:val="0"/>
          <w:marRight w:val="0"/>
          <w:marTop w:val="0"/>
          <w:marBottom w:val="0"/>
          <w:divBdr>
            <w:top w:val="none" w:sz="0" w:space="0" w:color="auto"/>
            <w:left w:val="none" w:sz="0" w:space="0" w:color="auto"/>
            <w:bottom w:val="none" w:sz="0" w:space="0" w:color="auto"/>
            <w:right w:val="none" w:sz="0" w:space="0" w:color="auto"/>
          </w:divBdr>
        </w:div>
      </w:divsChild>
    </w:div>
    <w:div w:id="321005965">
      <w:bodyDiv w:val="1"/>
      <w:marLeft w:val="0"/>
      <w:marRight w:val="0"/>
      <w:marTop w:val="0"/>
      <w:marBottom w:val="0"/>
      <w:divBdr>
        <w:top w:val="none" w:sz="0" w:space="0" w:color="auto"/>
        <w:left w:val="none" w:sz="0" w:space="0" w:color="auto"/>
        <w:bottom w:val="none" w:sz="0" w:space="0" w:color="auto"/>
        <w:right w:val="none" w:sz="0" w:space="0" w:color="auto"/>
      </w:divBdr>
    </w:div>
    <w:div w:id="343440371">
      <w:bodyDiv w:val="1"/>
      <w:marLeft w:val="0"/>
      <w:marRight w:val="0"/>
      <w:marTop w:val="0"/>
      <w:marBottom w:val="0"/>
      <w:divBdr>
        <w:top w:val="none" w:sz="0" w:space="0" w:color="auto"/>
        <w:left w:val="none" w:sz="0" w:space="0" w:color="auto"/>
        <w:bottom w:val="none" w:sz="0" w:space="0" w:color="auto"/>
        <w:right w:val="none" w:sz="0" w:space="0" w:color="auto"/>
      </w:divBdr>
    </w:div>
    <w:div w:id="464783638">
      <w:bodyDiv w:val="1"/>
      <w:marLeft w:val="0"/>
      <w:marRight w:val="0"/>
      <w:marTop w:val="0"/>
      <w:marBottom w:val="0"/>
      <w:divBdr>
        <w:top w:val="none" w:sz="0" w:space="0" w:color="auto"/>
        <w:left w:val="none" w:sz="0" w:space="0" w:color="auto"/>
        <w:bottom w:val="none" w:sz="0" w:space="0" w:color="auto"/>
        <w:right w:val="none" w:sz="0" w:space="0" w:color="auto"/>
      </w:divBdr>
    </w:div>
    <w:div w:id="518084895">
      <w:bodyDiv w:val="1"/>
      <w:marLeft w:val="0"/>
      <w:marRight w:val="0"/>
      <w:marTop w:val="0"/>
      <w:marBottom w:val="0"/>
      <w:divBdr>
        <w:top w:val="none" w:sz="0" w:space="0" w:color="auto"/>
        <w:left w:val="none" w:sz="0" w:space="0" w:color="auto"/>
        <w:bottom w:val="none" w:sz="0" w:space="0" w:color="auto"/>
        <w:right w:val="none" w:sz="0" w:space="0" w:color="auto"/>
      </w:divBdr>
    </w:div>
    <w:div w:id="549072600">
      <w:bodyDiv w:val="1"/>
      <w:marLeft w:val="0"/>
      <w:marRight w:val="0"/>
      <w:marTop w:val="0"/>
      <w:marBottom w:val="0"/>
      <w:divBdr>
        <w:top w:val="none" w:sz="0" w:space="0" w:color="auto"/>
        <w:left w:val="none" w:sz="0" w:space="0" w:color="auto"/>
        <w:bottom w:val="none" w:sz="0" w:space="0" w:color="auto"/>
        <w:right w:val="none" w:sz="0" w:space="0" w:color="auto"/>
      </w:divBdr>
      <w:divsChild>
        <w:div w:id="477921216">
          <w:marLeft w:val="0"/>
          <w:marRight w:val="0"/>
          <w:marTop w:val="0"/>
          <w:marBottom w:val="0"/>
          <w:divBdr>
            <w:top w:val="none" w:sz="0" w:space="0" w:color="auto"/>
            <w:left w:val="none" w:sz="0" w:space="0" w:color="auto"/>
            <w:bottom w:val="none" w:sz="0" w:space="0" w:color="auto"/>
            <w:right w:val="none" w:sz="0" w:space="0" w:color="auto"/>
          </w:divBdr>
        </w:div>
      </w:divsChild>
    </w:div>
    <w:div w:id="602539371">
      <w:bodyDiv w:val="1"/>
      <w:marLeft w:val="0"/>
      <w:marRight w:val="0"/>
      <w:marTop w:val="0"/>
      <w:marBottom w:val="0"/>
      <w:divBdr>
        <w:top w:val="none" w:sz="0" w:space="0" w:color="auto"/>
        <w:left w:val="none" w:sz="0" w:space="0" w:color="auto"/>
        <w:bottom w:val="none" w:sz="0" w:space="0" w:color="auto"/>
        <w:right w:val="none" w:sz="0" w:space="0" w:color="auto"/>
      </w:divBdr>
    </w:div>
    <w:div w:id="726298080">
      <w:bodyDiv w:val="1"/>
      <w:marLeft w:val="0"/>
      <w:marRight w:val="0"/>
      <w:marTop w:val="0"/>
      <w:marBottom w:val="0"/>
      <w:divBdr>
        <w:top w:val="none" w:sz="0" w:space="0" w:color="auto"/>
        <w:left w:val="none" w:sz="0" w:space="0" w:color="auto"/>
        <w:bottom w:val="none" w:sz="0" w:space="0" w:color="auto"/>
        <w:right w:val="none" w:sz="0" w:space="0" w:color="auto"/>
      </w:divBdr>
    </w:div>
    <w:div w:id="756054414">
      <w:bodyDiv w:val="1"/>
      <w:marLeft w:val="0"/>
      <w:marRight w:val="0"/>
      <w:marTop w:val="0"/>
      <w:marBottom w:val="0"/>
      <w:divBdr>
        <w:top w:val="none" w:sz="0" w:space="0" w:color="auto"/>
        <w:left w:val="none" w:sz="0" w:space="0" w:color="auto"/>
        <w:bottom w:val="none" w:sz="0" w:space="0" w:color="auto"/>
        <w:right w:val="none" w:sz="0" w:space="0" w:color="auto"/>
      </w:divBdr>
    </w:div>
    <w:div w:id="789671133">
      <w:bodyDiv w:val="1"/>
      <w:marLeft w:val="0"/>
      <w:marRight w:val="0"/>
      <w:marTop w:val="0"/>
      <w:marBottom w:val="0"/>
      <w:divBdr>
        <w:top w:val="none" w:sz="0" w:space="0" w:color="auto"/>
        <w:left w:val="none" w:sz="0" w:space="0" w:color="auto"/>
        <w:bottom w:val="none" w:sz="0" w:space="0" w:color="auto"/>
        <w:right w:val="none" w:sz="0" w:space="0" w:color="auto"/>
      </w:divBdr>
    </w:div>
    <w:div w:id="965507616">
      <w:bodyDiv w:val="1"/>
      <w:marLeft w:val="0"/>
      <w:marRight w:val="0"/>
      <w:marTop w:val="0"/>
      <w:marBottom w:val="0"/>
      <w:divBdr>
        <w:top w:val="none" w:sz="0" w:space="0" w:color="auto"/>
        <w:left w:val="none" w:sz="0" w:space="0" w:color="auto"/>
        <w:bottom w:val="none" w:sz="0" w:space="0" w:color="auto"/>
        <w:right w:val="none" w:sz="0" w:space="0" w:color="auto"/>
      </w:divBdr>
    </w:div>
    <w:div w:id="968365330">
      <w:bodyDiv w:val="1"/>
      <w:marLeft w:val="0"/>
      <w:marRight w:val="0"/>
      <w:marTop w:val="0"/>
      <w:marBottom w:val="0"/>
      <w:divBdr>
        <w:top w:val="none" w:sz="0" w:space="0" w:color="auto"/>
        <w:left w:val="none" w:sz="0" w:space="0" w:color="auto"/>
        <w:bottom w:val="none" w:sz="0" w:space="0" w:color="auto"/>
        <w:right w:val="none" w:sz="0" w:space="0" w:color="auto"/>
      </w:divBdr>
    </w:div>
    <w:div w:id="999885707">
      <w:bodyDiv w:val="1"/>
      <w:marLeft w:val="0"/>
      <w:marRight w:val="0"/>
      <w:marTop w:val="0"/>
      <w:marBottom w:val="0"/>
      <w:divBdr>
        <w:top w:val="none" w:sz="0" w:space="0" w:color="auto"/>
        <w:left w:val="none" w:sz="0" w:space="0" w:color="auto"/>
        <w:bottom w:val="none" w:sz="0" w:space="0" w:color="auto"/>
        <w:right w:val="none" w:sz="0" w:space="0" w:color="auto"/>
      </w:divBdr>
    </w:div>
    <w:div w:id="1015157201">
      <w:bodyDiv w:val="1"/>
      <w:marLeft w:val="0"/>
      <w:marRight w:val="0"/>
      <w:marTop w:val="0"/>
      <w:marBottom w:val="0"/>
      <w:divBdr>
        <w:top w:val="none" w:sz="0" w:space="0" w:color="auto"/>
        <w:left w:val="none" w:sz="0" w:space="0" w:color="auto"/>
        <w:bottom w:val="none" w:sz="0" w:space="0" w:color="auto"/>
        <w:right w:val="none" w:sz="0" w:space="0" w:color="auto"/>
      </w:divBdr>
    </w:div>
    <w:div w:id="1027218553">
      <w:bodyDiv w:val="1"/>
      <w:marLeft w:val="0"/>
      <w:marRight w:val="0"/>
      <w:marTop w:val="0"/>
      <w:marBottom w:val="0"/>
      <w:divBdr>
        <w:top w:val="none" w:sz="0" w:space="0" w:color="auto"/>
        <w:left w:val="none" w:sz="0" w:space="0" w:color="auto"/>
        <w:bottom w:val="none" w:sz="0" w:space="0" w:color="auto"/>
        <w:right w:val="none" w:sz="0" w:space="0" w:color="auto"/>
      </w:divBdr>
    </w:div>
    <w:div w:id="1215846871">
      <w:bodyDiv w:val="1"/>
      <w:marLeft w:val="0"/>
      <w:marRight w:val="0"/>
      <w:marTop w:val="0"/>
      <w:marBottom w:val="0"/>
      <w:divBdr>
        <w:top w:val="none" w:sz="0" w:space="0" w:color="auto"/>
        <w:left w:val="none" w:sz="0" w:space="0" w:color="auto"/>
        <w:bottom w:val="none" w:sz="0" w:space="0" w:color="auto"/>
        <w:right w:val="none" w:sz="0" w:space="0" w:color="auto"/>
      </w:divBdr>
    </w:div>
    <w:div w:id="1216889412">
      <w:bodyDiv w:val="1"/>
      <w:marLeft w:val="0"/>
      <w:marRight w:val="0"/>
      <w:marTop w:val="0"/>
      <w:marBottom w:val="0"/>
      <w:divBdr>
        <w:top w:val="none" w:sz="0" w:space="0" w:color="auto"/>
        <w:left w:val="none" w:sz="0" w:space="0" w:color="auto"/>
        <w:bottom w:val="none" w:sz="0" w:space="0" w:color="auto"/>
        <w:right w:val="none" w:sz="0" w:space="0" w:color="auto"/>
      </w:divBdr>
      <w:divsChild>
        <w:div w:id="1374578914">
          <w:marLeft w:val="547"/>
          <w:marRight w:val="0"/>
          <w:marTop w:val="130"/>
          <w:marBottom w:val="0"/>
          <w:divBdr>
            <w:top w:val="none" w:sz="0" w:space="0" w:color="auto"/>
            <w:left w:val="none" w:sz="0" w:space="0" w:color="auto"/>
            <w:bottom w:val="none" w:sz="0" w:space="0" w:color="auto"/>
            <w:right w:val="none" w:sz="0" w:space="0" w:color="auto"/>
          </w:divBdr>
        </w:div>
      </w:divsChild>
    </w:div>
    <w:div w:id="1308051735">
      <w:bodyDiv w:val="1"/>
      <w:marLeft w:val="0"/>
      <w:marRight w:val="0"/>
      <w:marTop w:val="0"/>
      <w:marBottom w:val="0"/>
      <w:divBdr>
        <w:top w:val="none" w:sz="0" w:space="0" w:color="auto"/>
        <w:left w:val="none" w:sz="0" w:space="0" w:color="auto"/>
        <w:bottom w:val="none" w:sz="0" w:space="0" w:color="auto"/>
        <w:right w:val="none" w:sz="0" w:space="0" w:color="auto"/>
      </w:divBdr>
    </w:div>
    <w:div w:id="1354963342">
      <w:bodyDiv w:val="1"/>
      <w:marLeft w:val="0"/>
      <w:marRight w:val="0"/>
      <w:marTop w:val="0"/>
      <w:marBottom w:val="0"/>
      <w:divBdr>
        <w:top w:val="none" w:sz="0" w:space="0" w:color="auto"/>
        <w:left w:val="none" w:sz="0" w:space="0" w:color="auto"/>
        <w:bottom w:val="none" w:sz="0" w:space="0" w:color="auto"/>
        <w:right w:val="none" w:sz="0" w:space="0" w:color="auto"/>
      </w:divBdr>
    </w:div>
    <w:div w:id="1383408255">
      <w:bodyDiv w:val="1"/>
      <w:marLeft w:val="0"/>
      <w:marRight w:val="0"/>
      <w:marTop w:val="0"/>
      <w:marBottom w:val="0"/>
      <w:divBdr>
        <w:top w:val="none" w:sz="0" w:space="0" w:color="auto"/>
        <w:left w:val="none" w:sz="0" w:space="0" w:color="auto"/>
        <w:bottom w:val="none" w:sz="0" w:space="0" w:color="auto"/>
        <w:right w:val="none" w:sz="0" w:space="0" w:color="auto"/>
      </w:divBdr>
    </w:div>
    <w:div w:id="1451392526">
      <w:bodyDiv w:val="1"/>
      <w:marLeft w:val="0"/>
      <w:marRight w:val="0"/>
      <w:marTop w:val="0"/>
      <w:marBottom w:val="0"/>
      <w:divBdr>
        <w:top w:val="none" w:sz="0" w:space="0" w:color="auto"/>
        <w:left w:val="none" w:sz="0" w:space="0" w:color="auto"/>
        <w:bottom w:val="none" w:sz="0" w:space="0" w:color="auto"/>
        <w:right w:val="none" w:sz="0" w:space="0" w:color="auto"/>
      </w:divBdr>
    </w:div>
    <w:div w:id="1493448353">
      <w:bodyDiv w:val="1"/>
      <w:marLeft w:val="0"/>
      <w:marRight w:val="0"/>
      <w:marTop w:val="0"/>
      <w:marBottom w:val="0"/>
      <w:divBdr>
        <w:top w:val="none" w:sz="0" w:space="0" w:color="auto"/>
        <w:left w:val="none" w:sz="0" w:space="0" w:color="auto"/>
        <w:bottom w:val="none" w:sz="0" w:space="0" w:color="auto"/>
        <w:right w:val="none" w:sz="0" w:space="0" w:color="auto"/>
      </w:divBdr>
    </w:div>
    <w:div w:id="1493907316">
      <w:bodyDiv w:val="1"/>
      <w:marLeft w:val="0"/>
      <w:marRight w:val="0"/>
      <w:marTop w:val="0"/>
      <w:marBottom w:val="0"/>
      <w:divBdr>
        <w:top w:val="none" w:sz="0" w:space="0" w:color="auto"/>
        <w:left w:val="none" w:sz="0" w:space="0" w:color="auto"/>
        <w:bottom w:val="none" w:sz="0" w:space="0" w:color="auto"/>
        <w:right w:val="none" w:sz="0" w:space="0" w:color="auto"/>
      </w:divBdr>
      <w:divsChild>
        <w:div w:id="1686711783">
          <w:marLeft w:val="0"/>
          <w:marRight w:val="0"/>
          <w:marTop w:val="0"/>
          <w:marBottom w:val="0"/>
          <w:divBdr>
            <w:top w:val="none" w:sz="0" w:space="0" w:color="auto"/>
            <w:left w:val="none" w:sz="0" w:space="0" w:color="auto"/>
            <w:bottom w:val="none" w:sz="0" w:space="0" w:color="auto"/>
            <w:right w:val="none" w:sz="0" w:space="0" w:color="auto"/>
          </w:divBdr>
        </w:div>
        <w:div w:id="524295134">
          <w:marLeft w:val="0"/>
          <w:marRight w:val="0"/>
          <w:marTop w:val="0"/>
          <w:marBottom w:val="0"/>
          <w:divBdr>
            <w:top w:val="none" w:sz="0" w:space="0" w:color="auto"/>
            <w:left w:val="none" w:sz="0" w:space="0" w:color="auto"/>
            <w:bottom w:val="none" w:sz="0" w:space="0" w:color="auto"/>
            <w:right w:val="none" w:sz="0" w:space="0" w:color="auto"/>
          </w:divBdr>
        </w:div>
        <w:div w:id="377170996">
          <w:marLeft w:val="0"/>
          <w:marRight w:val="0"/>
          <w:marTop w:val="0"/>
          <w:marBottom w:val="0"/>
          <w:divBdr>
            <w:top w:val="none" w:sz="0" w:space="0" w:color="auto"/>
            <w:left w:val="none" w:sz="0" w:space="0" w:color="auto"/>
            <w:bottom w:val="none" w:sz="0" w:space="0" w:color="auto"/>
            <w:right w:val="none" w:sz="0" w:space="0" w:color="auto"/>
          </w:divBdr>
        </w:div>
      </w:divsChild>
    </w:div>
    <w:div w:id="1519811422">
      <w:bodyDiv w:val="1"/>
      <w:marLeft w:val="0"/>
      <w:marRight w:val="0"/>
      <w:marTop w:val="0"/>
      <w:marBottom w:val="0"/>
      <w:divBdr>
        <w:top w:val="none" w:sz="0" w:space="0" w:color="auto"/>
        <w:left w:val="none" w:sz="0" w:space="0" w:color="auto"/>
        <w:bottom w:val="none" w:sz="0" w:space="0" w:color="auto"/>
        <w:right w:val="none" w:sz="0" w:space="0" w:color="auto"/>
      </w:divBdr>
    </w:div>
    <w:div w:id="1529682777">
      <w:bodyDiv w:val="1"/>
      <w:marLeft w:val="0"/>
      <w:marRight w:val="0"/>
      <w:marTop w:val="0"/>
      <w:marBottom w:val="0"/>
      <w:divBdr>
        <w:top w:val="none" w:sz="0" w:space="0" w:color="auto"/>
        <w:left w:val="none" w:sz="0" w:space="0" w:color="auto"/>
        <w:bottom w:val="none" w:sz="0" w:space="0" w:color="auto"/>
        <w:right w:val="none" w:sz="0" w:space="0" w:color="auto"/>
      </w:divBdr>
    </w:div>
    <w:div w:id="1537933782">
      <w:bodyDiv w:val="1"/>
      <w:marLeft w:val="0"/>
      <w:marRight w:val="0"/>
      <w:marTop w:val="0"/>
      <w:marBottom w:val="0"/>
      <w:divBdr>
        <w:top w:val="none" w:sz="0" w:space="0" w:color="auto"/>
        <w:left w:val="none" w:sz="0" w:space="0" w:color="auto"/>
        <w:bottom w:val="none" w:sz="0" w:space="0" w:color="auto"/>
        <w:right w:val="none" w:sz="0" w:space="0" w:color="auto"/>
      </w:divBdr>
      <w:divsChild>
        <w:div w:id="661591441">
          <w:marLeft w:val="0"/>
          <w:marRight w:val="0"/>
          <w:marTop w:val="0"/>
          <w:marBottom w:val="0"/>
          <w:divBdr>
            <w:top w:val="none" w:sz="0" w:space="0" w:color="auto"/>
            <w:left w:val="none" w:sz="0" w:space="0" w:color="auto"/>
            <w:bottom w:val="none" w:sz="0" w:space="0" w:color="auto"/>
            <w:right w:val="none" w:sz="0" w:space="0" w:color="auto"/>
          </w:divBdr>
        </w:div>
        <w:div w:id="1637176185">
          <w:marLeft w:val="0"/>
          <w:marRight w:val="0"/>
          <w:marTop w:val="0"/>
          <w:marBottom w:val="0"/>
          <w:divBdr>
            <w:top w:val="none" w:sz="0" w:space="0" w:color="auto"/>
            <w:left w:val="none" w:sz="0" w:space="0" w:color="auto"/>
            <w:bottom w:val="none" w:sz="0" w:space="0" w:color="auto"/>
            <w:right w:val="none" w:sz="0" w:space="0" w:color="auto"/>
          </w:divBdr>
        </w:div>
      </w:divsChild>
    </w:div>
    <w:div w:id="1634021950">
      <w:bodyDiv w:val="1"/>
      <w:marLeft w:val="0"/>
      <w:marRight w:val="0"/>
      <w:marTop w:val="0"/>
      <w:marBottom w:val="0"/>
      <w:divBdr>
        <w:top w:val="none" w:sz="0" w:space="0" w:color="auto"/>
        <w:left w:val="none" w:sz="0" w:space="0" w:color="auto"/>
        <w:bottom w:val="none" w:sz="0" w:space="0" w:color="auto"/>
        <w:right w:val="none" w:sz="0" w:space="0" w:color="auto"/>
      </w:divBdr>
    </w:div>
    <w:div w:id="1697461784">
      <w:bodyDiv w:val="1"/>
      <w:marLeft w:val="0"/>
      <w:marRight w:val="0"/>
      <w:marTop w:val="0"/>
      <w:marBottom w:val="0"/>
      <w:divBdr>
        <w:top w:val="none" w:sz="0" w:space="0" w:color="auto"/>
        <w:left w:val="none" w:sz="0" w:space="0" w:color="auto"/>
        <w:bottom w:val="none" w:sz="0" w:space="0" w:color="auto"/>
        <w:right w:val="none" w:sz="0" w:space="0" w:color="auto"/>
      </w:divBdr>
    </w:div>
    <w:div w:id="1761172746">
      <w:bodyDiv w:val="1"/>
      <w:marLeft w:val="0"/>
      <w:marRight w:val="0"/>
      <w:marTop w:val="0"/>
      <w:marBottom w:val="0"/>
      <w:divBdr>
        <w:top w:val="none" w:sz="0" w:space="0" w:color="auto"/>
        <w:left w:val="none" w:sz="0" w:space="0" w:color="auto"/>
        <w:bottom w:val="none" w:sz="0" w:space="0" w:color="auto"/>
        <w:right w:val="none" w:sz="0" w:space="0" w:color="auto"/>
      </w:divBdr>
    </w:div>
    <w:div w:id="1956936931">
      <w:bodyDiv w:val="1"/>
      <w:marLeft w:val="0"/>
      <w:marRight w:val="0"/>
      <w:marTop w:val="0"/>
      <w:marBottom w:val="0"/>
      <w:divBdr>
        <w:top w:val="none" w:sz="0" w:space="0" w:color="auto"/>
        <w:left w:val="none" w:sz="0" w:space="0" w:color="auto"/>
        <w:bottom w:val="none" w:sz="0" w:space="0" w:color="auto"/>
        <w:right w:val="none" w:sz="0" w:space="0" w:color="auto"/>
      </w:divBdr>
    </w:div>
    <w:div w:id="2044550680">
      <w:bodyDiv w:val="1"/>
      <w:marLeft w:val="0"/>
      <w:marRight w:val="0"/>
      <w:marTop w:val="0"/>
      <w:marBottom w:val="0"/>
      <w:divBdr>
        <w:top w:val="none" w:sz="0" w:space="0" w:color="auto"/>
        <w:left w:val="none" w:sz="0" w:space="0" w:color="auto"/>
        <w:bottom w:val="none" w:sz="0" w:space="0" w:color="auto"/>
        <w:right w:val="none" w:sz="0" w:space="0" w:color="auto"/>
      </w:divBdr>
    </w:div>
    <w:div w:id="2050109378">
      <w:bodyDiv w:val="1"/>
      <w:marLeft w:val="0"/>
      <w:marRight w:val="0"/>
      <w:marTop w:val="0"/>
      <w:marBottom w:val="0"/>
      <w:divBdr>
        <w:top w:val="none" w:sz="0" w:space="0" w:color="auto"/>
        <w:left w:val="none" w:sz="0" w:space="0" w:color="auto"/>
        <w:bottom w:val="none" w:sz="0" w:space="0" w:color="auto"/>
        <w:right w:val="none" w:sz="0" w:space="0" w:color="auto"/>
      </w:divBdr>
    </w:div>
    <w:div w:id="2112164974">
      <w:bodyDiv w:val="1"/>
      <w:marLeft w:val="0"/>
      <w:marRight w:val="0"/>
      <w:marTop w:val="0"/>
      <w:marBottom w:val="0"/>
      <w:divBdr>
        <w:top w:val="none" w:sz="0" w:space="0" w:color="auto"/>
        <w:left w:val="none" w:sz="0" w:space="0" w:color="auto"/>
        <w:bottom w:val="none" w:sz="0" w:space="0" w:color="auto"/>
        <w:right w:val="none" w:sz="0" w:space="0" w:color="auto"/>
      </w:divBdr>
    </w:div>
    <w:div w:id="2132747901">
      <w:bodyDiv w:val="1"/>
      <w:marLeft w:val="0"/>
      <w:marRight w:val="0"/>
      <w:marTop w:val="0"/>
      <w:marBottom w:val="0"/>
      <w:divBdr>
        <w:top w:val="none" w:sz="0" w:space="0" w:color="auto"/>
        <w:left w:val="none" w:sz="0" w:space="0" w:color="auto"/>
        <w:bottom w:val="none" w:sz="0" w:space="0" w:color="auto"/>
        <w:right w:val="none" w:sz="0" w:space="0" w:color="auto"/>
      </w:divBdr>
      <w:divsChild>
        <w:div w:id="1460803762">
          <w:marLeft w:val="0"/>
          <w:marRight w:val="0"/>
          <w:marTop w:val="0"/>
          <w:marBottom w:val="0"/>
          <w:divBdr>
            <w:top w:val="none" w:sz="0" w:space="0" w:color="auto"/>
            <w:left w:val="none" w:sz="0" w:space="0" w:color="auto"/>
            <w:bottom w:val="none" w:sz="0" w:space="0" w:color="auto"/>
            <w:right w:val="none" w:sz="0" w:space="0" w:color="auto"/>
          </w:divBdr>
        </w:div>
        <w:div w:id="112987865">
          <w:marLeft w:val="0"/>
          <w:marRight w:val="0"/>
          <w:marTop w:val="0"/>
          <w:marBottom w:val="0"/>
          <w:divBdr>
            <w:top w:val="none" w:sz="0" w:space="0" w:color="auto"/>
            <w:left w:val="none" w:sz="0" w:space="0" w:color="auto"/>
            <w:bottom w:val="none" w:sz="0" w:space="0" w:color="auto"/>
            <w:right w:val="none" w:sz="0" w:space="0" w:color="auto"/>
          </w:divBdr>
        </w:div>
        <w:div w:id="5674243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mnesty.org/download/Documents/32000/mde130592011en.pdf" TargetMode="External"/><Relationship Id="rId20" Type="http://schemas.openxmlformats.org/officeDocument/2006/relationships/theme" Target="theme/theme1.xml"/><Relationship Id="rId65" Type="http://schemas.microsoft.com/office/2011/relationships/people" Target="people.xml"/><Relationship Id="rId66" Type="http://schemas.microsoft.com/office/2011/relationships/commentsExtended" Target="commentsExtended.xml"/><Relationship Id="rId10" Type="http://schemas.openxmlformats.org/officeDocument/2006/relationships/hyperlink" Target="http://www.deathpenaltyworldwide.org" TargetMode="External"/><Relationship Id="rId11" Type="http://schemas.openxmlformats.org/officeDocument/2006/relationships/hyperlink" Target="https://www.law.ox.ac.uk/centres-institutes/centre-criminology/blog/2015/04/remembering-women-sentenced-death" TargetMode="External"/><Relationship Id="rId12" Type="http://schemas.openxmlformats.org/officeDocument/2006/relationships/hyperlink" Target="http://hrcp-web.org/hrcpweb/campaigns/" TargetMode="External"/><Relationship Id="rId13" Type="http://schemas.openxmlformats.org/officeDocument/2006/relationships/hyperlink" Target="https://www.iranhumanrights.org/2016/10/executions-larijani/" TargetMode="External"/><Relationship Id="rId14" Type="http://schemas.openxmlformats.org/officeDocument/2006/relationships/hyperlink" Target="https://iranhr.net/en/reports/15/" TargetMode="External"/><Relationship Id="rId15" Type="http://schemas.openxmlformats.org/officeDocument/2006/relationships/hyperlink" Target="https://iranhr.net/en/reports/9/" TargetMode="External"/><Relationship Id="rId16" Type="http://schemas.openxmlformats.org/officeDocument/2006/relationships/hyperlink" Target="http://theconversation.com/indonesia-uses-faulty-stats-on-drug-crisis-to-justify-death-penalty-36512"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01CEA8-EACB-3E4F-958C-F8E4C016E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40</Pages>
  <Words>10662</Words>
  <Characters>60780</Characters>
  <Application>Microsoft Macintosh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JF</cp:lastModifiedBy>
  <cp:revision>37</cp:revision>
  <cp:lastPrinted>2017-04-27T09:23:00Z</cp:lastPrinted>
  <dcterms:created xsi:type="dcterms:W3CDTF">2017-04-27T14:37:00Z</dcterms:created>
  <dcterms:modified xsi:type="dcterms:W3CDTF">2017-09-25T08:32:00Z</dcterms:modified>
</cp:coreProperties>
</file>