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BC849" w14:textId="21B66188" w:rsidR="00A838DC" w:rsidRPr="007C17A6" w:rsidRDefault="0092011B" w:rsidP="00FB4D93">
      <w:pPr>
        <w:spacing w:before="120" w:after="120" w:line="240" w:lineRule="auto"/>
        <w:jc w:val="center"/>
        <w:rPr>
          <w:rFonts w:ascii="Times New Roman" w:hAnsi="Times New Roman" w:cs="Times New Roman"/>
          <w:b/>
          <w:sz w:val="32"/>
          <w:szCs w:val="32"/>
          <w:lang w:val="en-GB"/>
        </w:rPr>
      </w:pPr>
      <w:r w:rsidRPr="007C17A6">
        <w:rPr>
          <w:rFonts w:ascii="Times New Roman" w:hAnsi="Times New Roman" w:cs="Times New Roman"/>
          <w:b/>
          <w:sz w:val="32"/>
          <w:szCs w:val="32"/>
          <w:lang w:val="en-GB"/>
        </w:rPr>
        <w:t xml:space="preserve">A neurobiologically </w:t>
      </w:r>
      <w:r w:rsidR="00E5421A" w:rsidRPr="007C17A6">
        <w:rPr>
          <w:rFonts w:ascii="Times New Roman" w:hAnsi="Times New Roman" w:cs="Times New Roman"/>
          <w:b/>
          <w:sz w:val="32"/>
          <w:szCs w:val="32"/>
          <w:lang w:val="en-GB"/>
        </w:rPr>
        <w:t>constrained cortex model of semantic grounding with spiking neurons and brain-like connectivity</w:t>
      </w:r>
    </w:p>
    <w:p w14:paraId="4DAF67C5" w14:textId="77777777" w:rsidR="00457390" w:rsidRPr="007C17A6" w:rsidRDefault="00457390" w:rsidP="00457390">
      <w:pPr>
        <w:spacing w:before="120" w:after="120" w:line="276" w:lineRule="auto"/>
        <w:jc w:val="center"/>
        <w:rPr>
          <w:rFonts w:ascii="Times New Roman" w:hAnsi="Times New Roman" w:cs="Times New Roman"/>
          <w:b/>
          <w:sz w:val="32"/>
          <w:szCs w:val="32"/>
          <w:lang w:val="en-GB"/>
        </w:rPr>
      </w:pPr>
    </w:p>
    <w:p w14:paraId="46DF77C1" w14:textId="77777777" w:rsidR="00A838DC" w:rsidRPr="007C17A6" w:rsidRDefault="00E5421A" w:rsidP="00D050D1">
      <w:pPr>
        <w:spacing w:before="120" w:after="120" w:line="240" w:lineRule="auto"/>
        <w:ind w:firstLine="289"/>
        <w:jc w:val="center"/>
        <w:rPr>
          <w:rFonts w:ascii="Times New Roman" w:hAnsi="Times New Roman" w:cs="Times New Roman"/>
          <w:sz w:val="28"/>
          <w:szCs w:val="28"/>
          <w:lang w:val="en-GB"/>
        </w:rPr>
      </w:pPr>
      <w:r w:rsidRPr="007C17A6">
        <w:rPr>
          <w:rFonts w:ascii="Times New Roman" w:hAnsi="Times New Roman" w:cs="Times New Roman"/>
          <w:sz w:val="28"/>
          <w:szCs w:val="28"/>
          <w:lang w:val="en-GB"/>
        </w:rPr>
        <w:t>Rosario Tomasello</w:t>
      </w:r>
      <w:r w:rsidRPr="007C17A6">
        <w:rPr>
          <w:rFonts w:ascii="Times New Roman" w:hAnsi="Times New Roman" w:cs="Times New Roman"/>
          <w:sz w:val="28"/>
          <w:szCs w:val="28"/>
          <w:vertAlign w:val="superscript"/>
          <w:lang w:val="en-GB"/>
        </w:rPr>
        <w:t>1,2,3</w:t>
      </w:r>
      <w:r w:rsidRPr="007C17A6">
        <w:rPr>
          <w:rFonts w:ascii="Times New Roman" w:hAnsi="Times New Roman" w:cs="Times New Roman"/>
          <w:sz w:val="28"/>
          <w:szCs w:val="28"/>
          <w:lang w:val="en-GB"/>
        </w:rPr>
        <w:t>*, Max Garagnani</w:t>
      </w:r>
      <w:r w:rsidRPr="007C17A6">
        <w:rPr>
          <w:rFonts w:ascii="Times New Roman" w:hAnsi="Times New Roman" w:cs="Times New Roman"/>
          <w:sz w:val="28"/>
          <w:szCs w:val="28"/>
          <w:vertAlign w:val="superscript"/>
          <w:lang w:val="en-GB"/>
        </w:rPr>
        <w:t>1,5</w:t>
      </w:r>
      <w:r w:rsidRPr="007C17A6">
        <w:rPr>
          <w:rFonts w:ascii="Times New Roman" w:hAnsi="Times New Roman" w:cs="Times New Roman"/>
          <w:sz w:val="28"/>
          <w:szCs w:val="28"/>
          <w:lang w:val="en-GB"/>
        </w:rPr>
        <w:t xml:space="preserve">, </w:t>
      </w:r>
    </w:p>
    <w:p w14:paraId="0601FBC9" w14:textId="77777777" w:rsidR="00A838DC" w:rsidRPr="007C17A6" w:rsidRDefault="00E5421A" w:rsidP="00D050D1">
      <w:pPr>
        <w:spacing w:before="120" w:after="120" w:line="240" w:lineRule="auto"/>
        <w:ind w:firstLine="289"/>
        <w:jc w:val="center"/>
        <w:rPr>
          <w:rFonts w:ascii="Times New Roman" w:hAnsi="Times New Roman" w:cs="Times New Roman"/>
          <w:sz w:val="28"/>
          <w:szCs w:val="28"/>
          <w:vertAlign w:val="superscript"/>
          <w:lang w:val="en-GB"/>
        </w:rPr>
      </w:pPr>
      <w:r w:rsidRPr="007C17A6">
        <w:rPr>
          <w:rFonts w:ascii="Times New Roman" w:hAnsi="Times New Roman" w:cs="Times New Roman"/>
          <w:sz w:val="28"/>
          <w:szCs w:val="28"/>
          <w:lang w:val="en-GB"/>
        </w:rPr>
        <w:t>Thomas Wennekers</w:t>
      </w:r>
      <w:r w:rsidRPr="007C17A6">
        <w:rPr>
          <w:rFonts w:ascii="Times New Roman" w:hAnsi="Times New Roman" w:cs="Times New Roman"/>
          <w:sz w:val="28"/>
          <w:szCs w:val="28"/>
          <w:vertAlign w:val="superscript"/>
          <w:lang w:val="en-GB"/>
        </w:rPr>
        <w:t xml:space="preserve">2 </w:t>
      </w:r>
      <w:r w:rsidRPr="007C17A6">
        <w:rPr>
          <w:rFonts w:ascii="Times New Roman" w:hAnsi="Times New Roman" w:cs="Times New Roman"/>
          <w:sz w:val="28"/>
          <w:szCs w:val="28"/>
          <w:lang w:val="en-GB"/>
        </w:rPr>
        <w:t xml:space="preserve">and </w:t>
      </w:r>
      <w:proofErr w:type="spellStart"/>
      <w:r w:rsidRPr="007C17A6">
        <w:rPr>
          <w:rFonts w:ascii="Times New Roman" w:hAnsi="Times New Roman" w:cs="Times New Roman"/>
          <w:sz w:val="28"/>
          <w:szCs w:val="28"/>
          <w:lang w:val="en-GB"/>
        </w:rPr>
        <w:t>Friedemann</w:t>
      </w:r>
      <w:proofErr w:type="spellEnd"/>
      <w:r w:rsidRPr="007C17A6">
        <w:rPr>
          <w:rFonts w:ascii="Times New Roman" w:hAnsi="Times New Roman" w:cs="Times New Roman"/>
          <w:sz w:val="28"/>
          <w:szCs w:val="28"/>
          <w:lang w:val="en-GB"/>
        </w:rPr>
        <w:t xml:space="preserve"> Pulvermüller</w:t>
      </w:r>
      <w:r w:rsidRPr="007C17A6">
        <w:rPr>
          <w:rFonts w:ascii="Times New Roman" w:hAnsi="Times New Roman" w:cs="Times New Roman"/>
          <w:sz w:val="28"/>
          <w:szCs w:val="28"/>
          <w:vertAlign w:val="superscript"/>
          <w:lang w:val="en-GB"/>
        </w:rPr>
        <w:t>1,3,4</w:t>
      </w:r>
    </w:p>
    <w:p w14:paraId="748E7CEE" w14:textId="77777777" w:rsidR="00457390" w:rsidRPr="007C17A6" w:rsidRDefault="00457390">
      <w:pPr>
        <w:spacing w:before="120" w:after="120" w:line="276" w:lineRule="auto"/>
        <w:ind w:firstLine="289"/>
        <w:jc w:val="center"/>
        <w:rPr>
          <w:rFonts w:ascii="Times New Roman" w:hAnsi="Times New Roman" w:cs="Times New Roman"/>
          <w:b/>
          <w:sz w:val="28"/>
          <w:szCs w:val="28"/>
          <w:vertAlign w:val="superscript"/>
          <w:lang w:val="en-GB"/>
        </w:rPr>
      </w:pPr>
    </w:p>
    <w:p w14:paraId="467C128C" w14:textId="77777777" w:rsidR="00457390" w:rsidRPr="007C17A6" w:rsidRDefault="00457390">
      <w:pPr>
        <w:spacing w:before="120" w:after="120" w:line="276" w:lineRule="auto"/>
        <w:ind w:firstLine="289"/>
        <w:jc w:val="center"/>
        <w:rPr>
          <w:rFonts w:ascii="Times New Roman" w:hAnsi="Times New Roman" w:cs="Times New Roman"/>
          <w:b/>
          <w:sz w:val="28"/>
          <w:szCs w:val="28"/>
          <w:vertAlign w:val="superscript"/>
          <w:lang w:val="en-GB"/>
        </w:rPr>
      </w:pPr>
    </w:p>
    <w:p w14:paraId="1BC0C370" w14:textId="77777777" w:rsidR="00457390" w:rsidRPr="007C17A6" w:rsidRDefault="00457390" w:rsidP="00457390">
      <w:pPr>
        <w:pStyle w:val="PlainText"/>
        <w:spacing w:before="120" w:after="120"/>
        <w:rPr>
          <w:rFonts w:ascii="Calibri" w:hAnsi="Calibri"/>
          <w:sz w:val="22"/>
          <w:szCs w:val="22"/>
        </w:rPr>
      </w:pPr>
      <w:r w:rsidRPr="007C17A6">
        <w:rPr>
          <w:rFonts w:ascii="Calibri" w:hAnsi="Calibri"/>
          <w:sz w:val="22"/>
          <w:szCs w:val="22"/>
          <w:vertAlign w:val="superscript"/>
        </w:rPr>
        <w:t xml:space="preserve">1 </w:t>
      </w:r>
      <w:r w:rsidRPr="007C17A6">
        <w:rPr>
          <w:rFonts w:ascii="Calibri" w:hAnsi="Calibri"/>
          <w:sz w:val="22"/>
          <w:szCs w:val="22"/>
        </w:rPr>
        <w:t xml:space="preserve">Brain Language Laboratory (BLL), Department of Philosophy and Humanities, WE4, </w:t>
      </w:r>
      <w:proofErr w:type="spellStart"/>
      <w:r w:rsidRPr="007C17A6">
        <w:rPr>
          <w:rFonts w:ascii="Calibri" w:hAnsi="Calibri"/>
          <w:sz w:val="22"/>
          <w:szCs w:val="22"/>
          <w:lang w:val="en-US"/>
        </w:rPr>
        <w:t>Freie</w:t>
      </w:r>
      <w:proofErr w:type="spellEnd"/>
      <w:r w:rsidRPr="007C17A6">
        <w:rPr>
          <w:rFonts w:ascii="Calibri" w:hAnsi="Calibri"/>
          <w:sz w:val="22"/>
          <w:szCs w:val="22"/>
          <w:lang w:val="en-US"/>
        </w:rPr>
        <w:t xml:space="preserve"> Universität Berlin,</w:t>
      </w:r>
      <w:r w:rsidRPr="007C17A6">
        <w:rPr>
          <w:rFonts w:ascii="Calibri" w:hAnsi="Calibri"/>
          <w:sz w:val="22"/>
          <w:szCs w:val="22"/>
        </w:rPr>
        <w:t xml:space="preserve"> Berlin, Germany</w:t>
      </w:r>
    </w:p>
    <w:p w14:paraId="4D165DBA" w14:textId="77777777" w:rsidR="00457390" w:rsidRPr="007C17A6" w:rsidRDefault="00457390" w:rsidP="00457390">
      <w:pPr>
        <w:spacing w:before="120" w:after="120" w:line="240" w:lineRule="auto"/>
      </w:pPr>
      <w:r w:rsidRPr="007C17A6">
        <w:rPr>
          <w:vertAlign w:val="superscript"/>
          <w:lang w:val="en-GB"/>
        </w:rPr>
        <w:t xml:space="preserve">2 </w:t>
      </w:r>
      <w:r w:rsidRPr="007C17A6">
        <w:rPr>
          <w:lang w:val="en-GB"/>
        </w:rPr>
        <w:t>Centre for Robotics and Neural Systems (CRNS)</w:t>
      </w:r>
      <w:r w:rsidRPr="007C17A6">
        <w:t xml:space="preserve">, </w:t>
      </w:r>
      <w:r w:rsidRPr="007C17A6">
        <w:rPr>
          <w:lang w:val="en-GB"/>
        </w:rPr>
        <w:t>University of Plymouth</w:t>
      </w:r>
      <w:r w:rsidRPr="007C17A6">
        <w:t xml:space="preserve">, </w:t>
      </w:r>
      <w:r w:rsidRPr="007C17A6">
        <w:rPr>
          <w:lang w:val="en-GB"/>
        </w:rPr>
        <w:t>Plymouth, United Kingdom</w:t>
      </w:r>
    </w:p>
    <w:p w14:paraId="6E1691B1" w14:textId="77777777" w:rsidR="00457390" w:rsidRPr="007C17A6" w:rsidRDefault="00457390" w:rsidP="00457390">
      <w:pPr>
        <w:spacing w:before="120" w:after="120" w:line="240" w:lineRule="auto"/>
      </w:pPr>
      <w:r w:rsidRPr="007C17A6">
        <w:rPr>
          <w:vertAlign w:val="superscript"/>
        </w:rPr>
        <w:t xml:space="preserve">3 </w:t>
      </w:r>
      <w:r w:rsidRPr="007C17A6">
        <w:t xml:space="preserve">Berlin School of Mind and Brain, Humboldt Universität </w:t>
      </w:r>
      <w:r w:rsidRPr="007C17A6">
        <w:rPr>
          <w:noProof/>
        </w:rPr>
        <w:t>zu</w:t>
      </w:r>
      <w:r w:rsidRPr="007C17A6">
        <w:t xml:space="preserve"> Berlin, Berlin, Germany</w:t>
      </w:r>
    </w:p>
    <w:p w14:paraId="72E02D6E" w14:textId="77777777" w:rsidR="00457390" w:rsidRPr="007C17A6" w:rsidRDefault="00457390" w:rsidP="00457390">
      <w:pPr>
        <w:tabs>
          <w:tab w:val="center" w:pos="4824"/>
          <w:tab w:val="left" w:pos="7217"/>
        </w:tabs>
        <w:spacing w:before="120" w:after="120" w:line="240" w:lineRule="auto"/>
        <w:rPr>
          <w:lang w:val="en-GB"/>
        </w:rPr>
      </w:pPr>
      <w:r w:rsidRPr="007C17A6">
        <w:rPr>
          <w:vertAlign w:val="superscript"/>
        </w:rPr>
        <w:t xml:space="preserve">4 </w:t>
      </w:r>
      <w:r w:rsidRPr="007C17A6">
        <w:rPr>
          <w:lang w:val="en-GB"/>
        </w:rPr>
        <w:t xml:space="preserve">Einstein </w:t>
      </w:r>
      <w:proofErr w:type="spellStart"/>
      <w:r w:rsidRPr="007C17A6">
        <w:rPr>
          <w:lang w:val="en-GB"/>
        </w:rPr>
        <w:t>Center</w:t>
      </w:r>
      <w:proofErr w:type="spellEnd"/>
      <w:r w:rsidRPr="007C17A6">
        <w:rPr>
          <w:lang w:val="en-GB"/>
        </w:rPr>
        <w:t xml:space="preserve"> for Neurosciences, Berlin, Germany</w:t>
      </w:r>
    </w:p>
    <w:p w14:paraId="1D3BD82A" w14:textId="77777777" w:rsidR="00457390" w:rsidRPr="007C17A6" w:rsidRDefault="00457390" w:rsidP="00457390">
      <w:pPr>
        <w:widowControl w:val="0"/>
        <w:spacing w:before="120" w:after="120" w:line="240" w:lineRule="auto"/>
        <w:rPr>
          <w:rFonts w:cs="Times New Roman"/>
        </w:rPr>
      </w:pPr>
      <w:r w:rsidRPr="007C17A6">
        <w:rPr>
          <w:vertAlign w:val="superscript"/>
        </w:rPr>
        <w:t xml:space="preserve">5 </w:t>
      </w:r>
      <w:r w:rsidRPr="007C17A6">
        <w:rPr>
          <w:rFonts w:cs="Times New Roman"/>
        </w:rPr>
        <w:t>Department of Computing, Goldsmiths, Un</w:t>
      </w:r>
      <w:r w:rsidRPr="007C17A6">
        <w:rPr>
          <w:rFonts w:cs="Times New Roman"/>
          <w:noProof/>
        </w:rPr>
        <w:t>ivers</w:t>
      </w:r>
      <w:r w:rsidRPr="007C17A6">
        <w:rPr>
          <w:rFonts w:cs="Times New Roman"/>
        </w:rPr>
        <w:t>ity of London, London, United Kingdom</w:t>
      </w:r>
    </w:p>
    <w:p w14:paraId="0935F78E" w14:textId="77777777" w:rsidR="00457390" w:rsidRPr="007C17A6" w:rsidRDefault="00457390" w:rsidP="00457390">
      <w:pPr>
        <w:widowControl w:val="0"/>
        <w:spacing w:before="120" w:after="120" w:line="240" w:lineRule="auto"/>
        <w:rPr>
          <w:rFonts w:cs="Times New Roman"/>
        </w:rPr>
      </w:pPr>
    </w:p>
    <w:p w14:paraId="268424EC" w14:textId="70574533" w:rsidR="007D2F14" w:rsidRPr="007C17A6" w:rsidRDefault="007D2F14" w:rsidP="007D2F14">
      <w:pPr>
        <w:tabs>
          <w:tab w:val="left" w:pos="5220"/>
        </w:tabs>
        <w:spacing w:line="240" w:lineRule="auto"/>
        <w:ind w:left="2880"/>
        <w:contextualSpacing/>
        <w:rPr>
          <w:rFonts w:ascii="Arial" w:hAnsi="Arial" w:cs="Arial"/>
        </w:rPr>
      </w:pPr>
      <w:r w:rsidRPr="007C17A6">
        <w:rPr>
          <w:rFonts w:ascii="Arial" w:hAnsi="Arial" w:cs="Arial"/>
        </w:rPr>
        <w:t xml:space="preserve">Number of pages: </w:t>
      </w:r>
      <w:r w:rsidR="003C4990" w:rsidRPr="007C17A6">
        <w:rPr>
          <w:rFonts w:ascii="Arial" w:hAnsi="Arial" w:cs="Arial"/>
        </w:rPr>
        <w:t>34</w:t>
      </w:r>
      <w:r w:rsidRPr="007C17A6">
        <w:rPr>
          <w:rFonts w:ascii="Arial" w:hAnsi="Arial" w:cs="Arial"/>
        </w:rPr>
        <w:tab/>
      </w:r>
    </w:p>
    <w:p w14:paraId="3689461B" w14:textId="0117BD79" w:rsidR="007D2F14" w:rsidRPr="007C17A6" w:rsidRDefault="007D2F14" w:rsidP="007D2F14">
      <w:pPr>
        <w:tabs>
          <w:tab w:val="left" w:pos="5220"/>
        </w:tabs>
        <w:spacing w:line="240" w:lineRule="auto"/>
        <w:ind w:left="2880"/>
        <w:contextualSpacing/>
        <w:rPr>
          <w:rFonts w:ascii="Arial" w:hAnsi="Arial" w:cs="Arial"/>
        </w:rPr>
      </w:pPr>
      <w:r w:rsidRPr="007C17A6">
        <w:rPr>
          <w:rFonts w:ascii="Arial" w:hAnsi="Arial" w:cs="Arial"/>
        </w:rPr>
        <w:t>Number of figures: 4</w:t>
      </w:r>
      <w:r w:rsidRPr="007C17A6">
        <w:rPr>
          <w:rFonts w:ascii="Arial" w:hAnsi="Arial" w:cs="Arial"/>
        </w:rPr>
        <w:tab/>
      </w:r>
    </w:p>
    <w:p w14:paraId="4B534184" w14:textId="11EC489F" w:rsidR="007D2F14" w:rsidRPr="007C17A6" w:rsidRDefault="007D2F14" w:rsidP="007D2F14">
      <w:pPr>
        <w:tabs>
          <w:tab w:val="left" w:pos="3420"/>
        </w:tabs>
        <w:spacing w:line="240" w:lineRule="auto"/>
        <w:ind w:left="2880"/>
        <w:contextualSpacing/>
        <w:rPr>
          <w:rFonts w:ascii="Arial" w:hAnsi="Arial" w:cs="Arial"/>
        </w:rPr>
      </w:pPr>
      <w:r w:rsidRPr="007C17A6">
        <w:rPr>
          <w:rFonts w:ascii="Arial" w:hAnsi="Arial" w:cs="Arial"/>
        </w:rPr>
        <w:t xml:space="preserve">Number of words in </w:t>
      </w:r>
      <w:r w:rsidR="00995DBB" w:rsidRPr="007C17A6">
        <w:rPr>
          <w:rFonts w:ascii="Arial" w:hAnsi="Arial" w:cs="Arial"/>
        </w:rPr>
        <w:t>8510</w:t>
      </w:r>
    </w:p>
    <w:p w14:paraId="65EB08CB" w14:textId="189A341E" w:rsidR="007D2F14" w:rsidRPr="007C17A6" w:rsidRDefault="007D2F14" w:rsidP="007D2F14">
      <w:pPr>
        <w:numPr>
          <w:ilvl w:val="0"/>
          <w:numId w:val="7"/>
        </w:numPr>
        <w:tabs>
          <w:tab w:val="left" w:pos="3420"/>
          <w:tab w:val="left" w:pos="5220"/>
        </w:tabs>
        <w:spacing w:after="0" w:line="240" w:lineRule="auto"/>
        <w:ind w:left="2880" w:firstLine="0"/>
        <w:contextualSpacing/>
        <w:rPr>
          <w:rFonts w:ascii="Arial" w:hAnsi="Arial" w:cs="Arial"/>
        </w:rPr>
      </w:pPr>
      <w:r w:rsidRPr="007C17A6">
        <w:rPr>
          <w:rFonts w:ascii="Arial" w:hAnsi="Arial" w:cs="Arial"/>
        </w:rPr>
        <w:t>Abstract: 245</w:t>
      </w:r>
      <w:r w:rsidRPr="007C17A6">
        <w:rPr>
          <w:rFonts w:ascii="Arial" w:hAnsi="Arial" w:cs="Arial"/>
        </w:rPr>
        <w:tab/>
      </w:r>
    </w:p>
    <w:p w14:paraId="3E835957" w14:textId="77777777" w:rsidR="00457390" w:rsidRPr="007C17A6" w:rsidRDefault="00457390" w:rsidP="00457390">
      <w:pPr>
        <w:widowControl w:val="0"/>
        <w:spacing w:before="120" w:after="120" w:line="240" w:lineRule="auto"/>
        <w:rPr>
          <w:rFonts w:cs="Times New Roman"/>
        </w:rPr>
      </w:pPr>
    </w:p>
    <w:p w14:paraId="5072228C" w14:textId="77777777" w:rsidR="00A838DC" w:rsidRPr="007C17A6" w:rsidRDefault="00A838DC">
      <w:pPr>
        <w:widowControl w:val="0"/>
        <w:spacing w:after="0" w:line="276" w:lineRule="auto"/>
        <w:jc w:val="center"/>
        <w:rPr>
          <w:rFonts w:asciiTheme="minorHAnsi" w:hAnsiTheme="minorHAnsi" w:cs="Times New Roman"/>
          <w:b/>
          <w:sz w:val="20"/>
          <w:szCs w:val="20"/>
        </w:rPr>
      </w:pPr>
    </w:p>
    <w:p w14:paraId="45A42E79" w14:textId="089336F1" w:rsidR="00A838DC" w:rsidRPr="007C17A6" w:rsidRDefault="00E5421A" w:rsidP="00457390">
      <w:pPr>
        <w:spacing w:line="240" w:lineRule="auto"/>
        <w:ind w:firstLine="288"/>
        <w:contextualSpacing/>
        <w:rPr>
          <w:rFonts w:ascii="Times New Roman" w:hAnsi="Times New Roman" w:cs="Times New Roman"/>
          <w:lang w:val="en-GB"/>
        </w:rPr>
      </w:pPr>
      <w:r w:rsidRPr="007C17A6">
        <w:rPr>
          <w:lang w:val="en-GB"/>
        </w:rPr>
        <w:tab/>
      </w:r>
      <w:r w:rsidR="00457390" w:rsidRPr="007C17A6">
        <w:rPr>
          <w:rFonts w:ascii="Times New Roman" w:hAnsi="Times New Roman" w:cs="Times New Roman"/>
          <w:lang w:val="en-GB"/>
        </w:rPr>
        <w:t>*Correspondence</w:t>
      </w:r>
    </w:p>
    <w:p w14:paraId="12AF7D6A" w14:textId="087D4B26" w:rsidR="00457390" w:rsidRPr="007C17A6" w:rsidRDefault="00457390" w:rsidP="00457390">
      <w:pPr>
        <w:spacing w:after="0" w:line="240" w:lineRule="auto"/>
        <w:ind w:firstLine="720"/>
        <w:contextualSpacing/>
        <w:rPr>
          <w:rFonts w:ascii="Times New Roman" w:hAnsi="Times New Roman" w:cs="Times New Roman"/>
        </w:rPr>
      </w:pPr>
      <w:r w:rsidRPr="007C17A6">
        <w:rPr>
          <w:rFonts w:ascii="Times New Roman" w:hAnsi="Times New Roman" w:cs="Times New Roman"/>
          <w:lang w:val="en-GB"/>
        </w:rPr>
        <w:t>Email:</w:t>
      </w:r>
      <w:r w:rsidRPr="007C17A6">
        <w:rPr>
          <w:rFonts w:ascii="Times New Roman" w:hAnsi="Times New Roman" w:cs="Times New Roman"/>
        </w:rPr>
        <w:t xml:space="preserve"> </w:t>
      </w:r>
      <w:hyperlink r:id="rId8">
        <w:r w:rsidRPr="007C17A6">
          <w:rPr>
            <w:rStyle w:val="InternetLink"/>
            <w:rFonts w:ascii="Times New Roman" w:eastAsia="MS Gothic" w:hAnsi="Times New Roman" w:cs="Times New Roman"/>
            <w:color w:val="00000A"/>
          </w:rPr>
          <w:t>Tomasello.R@fu-berlin.de</w:t>
        </w:r>
      </w:hyperlink>
    </w:p>
    <w:p w14:paraId="211F6364" w14:textId="77777777" w:rsidR="00457390" w:rsidRPr="007C17A6" w:rsidRDefault="00457390" w:rsidP="00457390">
      <w:pPr>
        <w:spacing w:after="0" w:line="240" w:lineRule="auto"/>
        <w:ind w:firstLine="720"/>
        <w:contextualSpacing/>
        <w:rPr>
          <w:rFonts w:ascii="Times New Roman" w:hAnsi="Times New Roman" w:cs="Times New Roman"/>
        </w:rPr>
      </w:pPr>
    </w:p>
    <w:p w14:paraId="4697BB16" w14:textId="77777777" w:rsidR="00A838DC" w:rsidRPr="007C17A6" w:rsidRDefault="00E5421A" w:rsidP="00457390">
      <w:pPr>
        <w:spacing w:after="0" w:line="240" w:lineRule="auto"/>
        <w:ind w:firstLine="288"/>
        <w:contextualSpacing/>
        <w:rPr>
          <w:rFonts w:ascii="Times New Roman" w:hAnsi="Times New Roman" w:cs="Times New Roman"/>
          <w:lang w:val="en-GB"/>
        </w:rPr>
      </w:pPr>
      <w:r w:rsidRPr="007C17A6">
        <w:rPr>
          <w:rFonts w:ascii="Times New Roman" w:hAnsi="Times New Roman" w:cs="Times New Roman"/>
          <w:lang w:val="en-GB"/>
        </w:rPr>
        <w:tab/>
        <w:t>Brain Language Laboratory</w:t>
      </w:r>
    </w:p>
    <w:p w14:paraId="45F120BF" w14:textId="77777777" w:rsidR="00A838DC" w:rsidRPr="007C17A6" w:rsidRDefault="00E5421A" w:rsidP="00457390">
      <w:pPr>
        <w:spacing w:after="0" w:line="240" w:lineRule="auto"/>
        <w:ind w:firstLine="288"/>
        <w:contextualSpacing/>
        <w:rPr>
          <w:rFonts w:ascii="Times New Roman" w:hAnsi="Times New Roman" w:cs="Times New Roman"/>
          <w:lang w:val="en-GB"/>
        </w:rPr>
      </w:pPr>
      <w:r w:rsidRPr="007C17A6">
        <w:rPr>
          <w:rFonts w:ascii="Times New Roman" w:hAnsi="Times New Roman" w:cs="Times New Roman"/>
          <w:lang w:val="en-GB"/>
        </w:rPr>
        <w:tab/>
        <w:t>Department of Philosophy and Humanities, WE4</w:t>
      </w:r>
    </w:p>
    <w:p w14:paraId="4E820C7D" w14:textId="77777777" w:rsidR="00A838DC" w:rsidRPr="007C17A6" w:rsidRDefault="00E5421A" w:rsidP="00457390">
      <w:pPr>
        <w:spacing w:after="0" w:line="240" w:lineRule="auto"/>
        <w:ind w:firstLine="288"/>
        <w:contextualSpacing/>
        <w:rPr>
          <w:rFonts w:ascii="Times New Roman" w:hAnsi="Times New Roman" w:cs="Times New Roman"/>
          <w:lang w:val="de-DE"/>
        </w:rPr>
      </w:pPr>
      <w:r w:rsidRPr="007C17A6">
        <w:rPr>
          <w:rFonts w:ascii="Times New Roman" w:hAnsi="Times New Roman" w:cs="Times New Roman"/>
          <w:lang w:val="en-GB"/>
        </w:rPr>
        <w:tab/>
      </w:r>
      <w:r w:rsidRPr="007C17A6">
        <w:rPr>
          <w:rFonts w:ascii="Times New Roman" w:hAnsi="Times New Roman" w:cs="Times New Roman"/>
          <w:lang w:val="de-DE"/>
        </w:rPr>
        <w:t>Freie Universität Berlin</w:t>
      </w:r>
      <w:r w:rsidRPr="007C17A6">
        <w:rPr>
          <w:rFonts w:ascii="Times New Roman" w:hAnsi="Times New Roman" w:cs="Times New Roman"/>
          <w:lang w:val="de-DE"/>
        </w:rPr>
        <w:tab/>
      </w:r>
    </w:p>
    <w:p w14:paraId="6E25EDBA" w14:textId="77777777" w:rsidR="00A838DC" w:rsidRPr="007C17A6" w:rsidRDefault="00E5421A" w:rsidP="00457390">
      <w:pPr>
        <w:spacing w:after="0" w:line="240" w:lineRule="auto"/>
        <w:ind w:firstLine="288"/>
        <w:contextualSpacing/>
        <w:rPr>
          <w:rFonts w:ascii="Times New Roman" w:hAnsi="Times New Roman" w:cs="Times New Roman"/>
          <w:lang w:val="de-DE"/>
        </w:rPr>
      </w:pPr>
      <w:r w:rsidRPr="007C17A6">
        <w:rPr>
          <w:rFonts w:ascii="Times New Roman" w:hAnsi="Times New Roman" w:cs="Times New Roman"/>
          <w:lang w:val="de-DE"/>
        </w:rPr>
        <w:tab/>
      </w:r>
      <w:proofErr w:type="spellStart"/>
      <w:r w:rsidRPr="007C17A6">
        <w:rPr>
          <w:rFonts w:ascii="Times New Roman" w:hAnsi="Times New Roman" w:cs="Times New Roman"/>
          <w:lang w:val="de-DE"/>
        </w:rPr>
        <w:t>Habelschwerdter</w:t>
      </w:r>
      <w:proofErr w:type="spellEnd"/>
      <w:r w:rsidRPr="007C17A6">
        <w:rPr>
          <w:rFonts w:ascii="Times New Roman" w:hAnsi="Times New Roman" w:cs="Times New Roman"/>
          <w:lang w:val="de-DE"/>
        </w:rPr>
        <w:t xml:space="preserve"> Allee 45</w:t>
      </w:r>
    </w:p>
    <w:p w14:paraId="401DDC00" w14:textId="77777777" w:rsidR="00A838DC" w:rsidRPr="007C17A6" w:rsidRDefault="00E5421A" w:rsidP="00457390">
      <w:pPr>
        <w:spacing w:after="0" w:line="240" w:lineRule="auto"/>
        <w:ind w:firstLine="288"/>
        <w:contextualSpacing/>
        <w:rPr>
          <w:rFonts w:ascii="Times New Roman" w:hAnsi="Times New Roman" w:cs="Times New Roman"/>
        </w:rPr>
      </w:pPr>
      <w:r w:rsidRPr="007C17A6">
        <w:rPr>
          <w:rFonts w:ascii="Times New Roman" w:hAnsi="Times New Roman" w:cs="Times New Roman"/>
          <w:lang w:val="de-DE"/>
        </w:rPr>
        <w:tab/>
      </w:r>
      <w:r w:rsidRPr="007C17A6">
        <w:rPr>
          <w:rFonts w:ascii="Times New Roman" w:hAnsi="Times New Roman" w:cs="Times New Roman"/>
          <w:lang w:val="en-GB"/>
        </w:rPr>
        <w:t>14195 Berlin, Germany</w:t>
      </w:r>
    </w:p>
    <w:p w14:paraId="548DC756" w14:textId="77777777" w:rsidR="00A838DC" w:rsidRPr="007C17A6" w:rsidRDefault="00E5421A" w:rsidP="00457390">
      <w:pPr>
        <w:spacing w:after="0" w:line="240" w:lineRule="auto"/>
        <w:ind w:firstLine="720"/>
        <w:contextualSpacing/>
        <w:rPr>
          <w:rFonts w:ascii="Times New Roman" w:hAnsi="Times New Roman" w:cs="Times New Roman"/>
          <w:lang w:val="en-GB"/>
        </w:rPr>
      </w:pPr>
      <w:r w:rsidRPr="007C17A6">
        <w:rPr>
          <w:rFonts w:ascii="Times New Roman" w:hAnsi="Times New Roman" w:cs="Times New Roman"/>
          <w:lang w:val="en-GB"/>
        </w:rPr>
        <w:t>Tel.: +49 (0) 30 838 51984</w:t>
      </w:r>
    </w:p>
    <w:p w14:paraId="51A22661" w14:textId="4F3A661B" w:rsidR="009429B4" w:rsidRPr="007C17A6" w:rsidRDefault="00E5421A" w:rsidP="00457390">
      <w:pPr>
        <w:spacing w:after="0" w:line="240" w:lineRule="auto"/>
        <w:ind w:firstLine="720"/>
        <w:contextualSpacing/>
        <w:rPr>
          <w:rFonts w:ascii="Times New Roman" w:eastAsia="Times New Roman" w:hAnsi="Times New Roman" w:cs="Times New Roman"/>
          <w:color w:val="000033"/>
          <w:shd w:val="clear" w:color="auto" w:fill="FFFFFF"/>
        </w:rPr>
      </w:pPr>
      <w:r w:rsidRPr="007C17A6">
        <w:rPr>
          <w:rFonts w:ascii="Times New Roman" w:eastAsia="Times New Roman" w:hAnsi="Times New Roman" w:cs="Times New Roman"/>
          <w:color w:val="000033"/>
          <w:shd w:val="clear" w:color="auto" w:fill="FFFFFF"/>
        </w:rPr>
        <w:t>ORCID: 0000-0001-8414-2644</w:t>
      </w:r>
    </w:p>
    <w:p w14:paraId="0B12022A" w14:textId="77777777" w:rsidR="00457390" w:rsidRPr="007C17A6" w:rsidRDefault="00457390" w:rsidP="009D7044">
      <w:pPr>
        <w:spacing w:after="0" w:line="240" w:lineRule="auto"/>
        <w:ind w:firstLine="720"/>
        <w:rPr>
          <w:rFonts w:ascii="Times New Roman" w:eastAsia="Times New Roman" w:hAnsi="Times New Roman" w:cs="Times New Roman"/>
          <w:color w:val="000033"/>
          <w:shd w:val="clear" w:color="auto" w:fill="FFFFFF"/>
        </w:rPr>
      </w:pPr>
    </w:p>
    <w:p w14:paraId="74DF8DA2" w14:textId="77777777" w:rsidR="00457390" w:rsidRPr="007C17A6" w:rsidRDefault="00457390" w:rsidP="009D7044">
      <w:pPr>
        <w:spacing w:after="0" w:line="240" w:lineRule="auto"/>
        <w:ind w:firstLine="720"/>
        <w:rPr>
          <w:rFonts w:ascii="Times New Roman" w:eastAsia="Times New Roman" w:hAnsi="Times New Roman" w:cs="Times New Roman"/>
          <w:color w:val="000033"/>
          <w:shd w:val="clear" w:color="auto" w:fill="FFFFFF"/>
        </w:rPr>
      </w:pPr>
    </w:p>
    <w:p w14:paraId="05B8DCB9" w14:textId="77777777" w:rsidR="009D7044" w:rsidRPr="007C17A6" w:rsidRDefault="009D7044" w:rsidP="009D7044">
      <w:pPr>
        <w:spacing w:after="0" w:line="240" w:lineRule="auto"/>
        <w:ind w:firstLine="720"/>
        <w:rPr>
          <w:rFonts w:ascii="Times New Roman" w:eastAsia="Times New Roman" w:hAnsi="Times New Roman" w:cs="Times New Roman"/>
          <w:color w:val="000033"/>
          <w:sz w:val="24"/>
          <w:szCs w:val="24"/>
          <w:shd w:val="clear" w:color="auto" w:fill="FFFFFF"/>
        </w:rPr>
      </w:pPr>
    </w:p>
    <w:p w14:paraId="107618E7" w14:textId="7A8A1ED1" w:rsidR="009D7044" w:rsidRPr="007C17A6" w:rsidRDefault="009D7044" w:rsidP="00457390">
      <w:pPr>
        <w:widowControl w:val="0"/>
        <w:spacing w:after="240" w:line="240" w:lineRule="auto"/>
        <w:rPr>
          <w:rFonts w:ascii="Times New Roman" w:eastAsia="Arial Unicode MS" w:hAnsi="Times New Roman" w:cs="Times New Roman"/>
          <w:color w:val="000000" w:themeColor="text1"/>
          <w:sz w:val="24"/>
          <w:szCs w:val="24"/>
        </w:rPr>
      </w:pPr>
      <w:r w:rsidRPr="007C17A6">
        <w:rPr>
          <w:rFonts w:ascii="Times New Roman" w:eastAsia="Arial Unicode MS" w:hAnsi="Times New Roman" w:cs="Times New Roman"/>
          <w:b/>
          <w:color w:val="000000" w:themeColor="text1"/>
          <w:sz w:val="24"/>
          <w:szCs w:val="24"/>
        </w:rPr>
        <w:t>Keywords:</w:t>
      </w:r>
      <w:r w:rsidRPr="007C17A6">
        <w:rPr>
          <w:rFonts w:ascii="Times New Roman" w:eastAsia="Arial Unicode MS" w:hAnsi="Times New Roman" w:cs="Times New Roman"/>
          <w:color w:val="000000" w:themeColor="text1"/>
          <w:sz w:val="24"/>
          <w:szCs w:val="24"/>
        </w:rPr>
        <w:t xml:space="preserve"> </w:t>
      </w:r>
      <w:r w:rsidR="00457390" w:rsidRPr="007C17A6">
        <w:rPr>
          <w:rFonts w:ascii="Times New Roman" w:eastAsia="Arial Unicode MS" w:hAnsi="Times New Roman" w:cs="Times New Roman"/>
          <w:color w:val="000000" w:themeColor="text1"/>
          <w:sz w:val="24"/>
          <w:szCs w:val="24"/>
        </w:rPr>
        <w:t xml:space="preserve"> </w:t>
      </w:r>
      <w:r w:rsidRPr="007C17A6">
        <w:rPr>
          <w:rFonts w:ascii="Times New Roman" w:eastAsia="Arial Unicode MS" w:hAnsi="Times New Roman" w:cs="Times New Roman"/>
          <w:color w:val="000000" w:themeColor="text1"/>
          <w:sz w:val="24"/>
          <w:szCs w:val="24"/>
        </w:rPr>
        <w:t xml:space="preserve">word acquisition; semantic grounding; Hebbian learning; distributed neural </w:t>
      </w:r>
      <w:r w:rsidR="00457390" w:rsidRPr="007C17A6">
        <w:rPr>
          <w:rFonts w:ascii="Times New Roman" w:eastAsia="Arial Unicode MS" w:hAnsi="Times New Roman" w:cs="Times New Roman"/>
          <w:color w:val="000000" w:themeColor="text1"/>
          <w:sz w:val="24"/>
          <w:szCs w:val="24"/>
        </w:rPr>
        <w:t xml:space="preserve"> </w:t>
      </w:r>
      <w:r w:rsidRPr="007C17A6">
        <w:rPr>
          <w:rFonts w:ascii="Times New Roman" w:eastAsia="Arial Unicode MS" w:hAnsi="Times New Roman" w:cs="Times New Roman"/>
          <w:color w:val="000000" w:themeColor="text1"/>
          <w:sz w:val="24"/>
          <w:szCs w:val="24"/>
        </w:rPr>
        <w:t xml:space="preserve">assemblies; biologically spiking network; brain-like connectivity </w:t>
      </w:r>
    </w:p>
    <w:p w14:paraId="78FB0864" w14:textId="77777777" w:rsidR="00A838DC" w:rsidRPr="007C17A6" w:rsidRDefault="00E5421A" w:rsidP="00E740D6">
      <w:pPr>
        <w:pStyle w:val="Heading1"/>
        <w:spacing w:line="240" w:lineRule="auto"/>
        <w:contextualSpacing/>
        <w:rPr>
          <w:rStyle w:val="Heading1Char"/>
          <w:rFonts w:ascii="Times New Roman" w:hAnsi="Times New Roman"/>
          <w:sz w:val="24"/>
          <w:szCs w:val="24"/>
        </w:rPr>
      </w:pPr>
      <w:bookmarkStart w:id="0" w:name="OLE_LINK72"/>
      <w:bookmarkStart w:id="1" w:name="OLE_LINK73"/>
      <w:r w:rsidRPr="007C17A6">
        <w:rPr>
          <w:rStyle w:val="Heading1Char"/>
          <w:rFonts w:ascii="Times New Roman" w:hAnsi="Times New Roman"/>
          <w:sz w:val="24"/>
          <w:szCs w:val="24"/>
        </w:rPr>
        <w:lastRenderedPageBreak/>
        <w:t>Abstract</w:t>
      </w:r>
    </w:p>
    <w:p w14:paraId="517DE953" w14:textId="155C2616" w:rsidR="00A838DC" w:rsidRPr="007C17A6" w:rsidRDefault="00E5421A" w:rsidP="0077421C">
      <w:pPr>
        <w:spacing w:before="120" w:after="120" w:line="240" w:lineRule="auto"/>
        <w:contextualSpacing/>
        <w:jc w:val="both"/>
        <w:rPr>
          <w:rFonts w:ascii="Times New Roman" w:hAnsi="Times New Roman" w:cs="Times New Roman"/>
          <w:color w:val="000000" w:themeColor="text1"/>
          <w:sz w:val="24"/>
          <w:szCs w:val="24"/>
          <w:lang w:val="en-GB"/>
        </w:rPr>
      </w:pPr>
      <w:bookmarkStart w:id="2" w:name="OLE_LINK70"/>
      <w:bookmarkStart w:id="3" w:name="OLE_LINK71"/>
      <w:r w:rsidRPr="007C17A6">
        <w:rPr>
          <w:rFonts w:ascii="Times New Roman" w:hAnsi="Times New Roman" w:cs="Times New Roman"/>
          <w:noProof/>
          <w:color w:val="000000" w:themeColor="text1"/>
          <w:sz w:val="24"/>
          <w:szCs w:val="24"/>
          <w:lang w:val="en-GB"/>
        </w:rPr>
        <w:t>One of the most controversial debates in cognitive</w:t>
      </w:r>
      <w:r w:rsidRPr="007C17A6">
        <w:rPr>
          <w:rFonts w:ascii="Times New Roman" w:hAnsi="Times New Roman" w:cs="Times New Roman"/>
          <w:color w:val="000000" w:themeColor="text1"/>
          <w:sz w:val="24"/>
          <w:szCs w:val="24"/>
          <w:lang w:val="en-GB"/>
        </w:rPr>
        <w:t xml:space="preserve"> neuroscience concerns the cortical locus of semantic knowledge and processing in the human brain. Experimental data revealed the existence of various cortical regions that become differentially active during meaning processing, ranging from semantic hubs (which bind </w:t>
      </w:r>
      <w:r w:rsidRPr="007C17A6">
        <w:rPr>
          <w:rFonts w:ascii="Times New Roman" w:eastAsia="Times New Roman" w:hAnsi="Times New Roman" w:cs="Times New Roman"/>
          <w:color w:val="000000" w:themeColor="text1"/>
          <w:sz w:val="24"/>
          <w:szCs w:val="24"/>
          <w:lang w:val="en-GB" w:eastAsia="it-IT"/>
        </w:rPr>
        <w:t>different types of meaning together)</w:t>
      </w:r>
      <w:r w:rsidRPr="007C17A6">
        <w:rPr>
          <w:rFonts w:ascii="Times New Roman" w:hAnsi="Times New Roman" w:cs="Times New Roman"/>
          <w:color w:val="000000" w:themeColor="text1"/>
          <w:sz w:val="24"/>
          <w:szCs w:val="24"/>
          <w:lang w:val="en-GB"/>
        </w:rPr>
        <w:t xml:space="preserve"> </w:t>
      </w:r>
      <w:r w:rsidRPr="007C17A6">
        <w:rPr>
          <w:rFonts w:ascii="Times New Roman" w:eastAsia="Times New Roman" w:hAnsi="Times New Roman" w:cs="Times New Roman"/>
          <w:color w:val="000000" w:themeColor="text1"/>
          <w:sz w:val="24"/>
          <w:szCs w:val="24"/>
          <w:lang w:val="en-GB" w:eastAsia="it-IT"/>
        </w:rPr>
        <w:t>to modality-specific sensorimotor areas, involved in specific conceptual categories.</w:t>
      </w:r>
      <w:r w:rsidRPr="007C17A6">
        <w:rPr>
          <w:rFonts w:ascii="Times New Roman" w:hAnsi="Times New Roman" w:cs="Times New Roman"/>
          <w:color w:val="000000" w:themeColor="text1"/>
          <w:sz w:val="24"/>
          <w:szCs w:val="24"/>
          <w:lang w:val="en-GB"/>
        </w:rPr>
        <w:t xml:space="preserve"> </w:t>
      </w:r>
      <w:r w:rsidRPr="007C17A6">
        <w:rPr>
          <w:rFonts w:ascii="Times New Roman" w:hAnsi="Times New Roman" w:cs="Times New Roman"/>
          <w:i/>
          <w:color w:val="000000" w:themeColor="text1"/>
          <w:sz w:val="24"/>
          <w:szCs w:val="24"/>
          <w:lang w:val="en-GB"/>
        </w:rPr>
        <w:t>Why</w:t>
      </w:r>
      <w:r w:rsidRPr="007C17A6">
        <w:rPr>
          <w:rFonts w:ascii="Times New Roman" w:hAnsi="Times New Roman" w:cs="Times New Roman"/>
          <w:color w:val="000000" w:themeColor="text1"/>
          <w:sz w:val="24"/>
          <w:szCs w:val="24"/>
          <w:lang w:val="en-GB"/>
        </w:rPr>
        <w:t xml:space="preserve"> and </w:t>
      </w:r>
      <w:r w:rsidRPr="007C17A6">
        <w:rPr>
          <w:rFonts w:ascii="Times New Roman" w:hAnsi="Times New Roman" w:cs="Times New Roman"/>
          <w:i/>
          <w:color w:val="000000" w:themeColor="text1"/>
          <w:sz w:val="24"/>
          <w:szCs w:val="24"/>
          <w:lang w:val="en-GB"/>
        </w:rPr>
        <w:t>how</w:t>
      </w:r>
      <w:r w:rsidRPr="007C17A6">
        <w:rPr>
          <w:rFonts w:ascii="Times New Roman" w:hAnsi="Times New Roman" w:cs="Times New Roman"/>
          <w:color w:val="000000" w:themeColor="text1"/>
          <w:sz w:val="24"/>
          <w:szCs w:val="24"/>
          <w:lang w:val="en-GB"/>
        </w:rPr>
        <w:t xml:space="preserve"> the brain uses such complex </w:t>
      </w:r>
      <w:r w:rsidRPr="007C17A6">
        <w:rPr>
          <w:rFonts w:ascii="Times New Roman" w:hAnsi="Times New Roman" w:cs="Times New Roman"/>
          <w:noProof/>
          <w:color w:val="000000" w:themeColor="text1"/>
          <w:sz w:val="24"/>
          <w:szCs w:val="24"/>
          <w:lang w:val="en-GB"/>
        </w:rPr>
        <w:t>organi</w:t>
      </w:r>
      <w:r w:rsidR="0052370F" w:rsidRPr="007C17A6">
        <w:rPr>
          <w:rFonts w:ascii="Times New Roman" w:hAnsi="Times New Roman" w:cs="Times New Roman"/>
          <w:noProof/>
          <w:color w:val="000000" w:themeColor="text1"/>
          <w:sz w:val="24"/>
          <w:szCs w:val="24"/>
          <w:lang w:val="en-GB"/>
        </w:rPr>
        <w:t>z</w:t>
      </w:r>
      <w:r w:rsidRPr="007C17A6">
        <w:rPr>
          <w:rFonts w:ascii="Times New Roman" w:hAnsi="Times New Roman" w:cs="Times New Roman"/>
          <w:noProof/>
          <w:color w:val="000000" w:themeColor="text1"/>
          <w:sz w:val="24"/>
          <w:szCs w:val="24"/>
          <w:lang w:val="en-GB"/>
        </w:rPr>
        <w:t>ation</w:t>
      </w:r>
      <w:r w:rsidRPr="007C17A6">
        <w:rPr>
          <w:rFonts w:ascii="Times New Roman" w:hAnsi="Times New Roman" w:cs="Times New Roman"/>
          <w:color w:val="000000" w:themeColor="text1"/>
          <w:sz w:val="24"/>
          <w:szCs w:val="24"/>
          <w:lang w:val="en-GB"/>
        </w:rPr>
        <w:t xml:space="preserve"> for </w:t>
      </w:r>
      <w:r w:rsidRPr="007C17A6">
        <w:rPr>
          <w:rFonts w:ascii="Times New Roman" w:hAnsi="Times New Roman" w:cs="Times New Roman"/>
          <w:noProof/>
          <w:color w:val="000000" w:themeColor="text1"/>
          <w:sz w:val="24"/>
          <w:szCs w:val="24"/>
          <w:lang w:val="en-GB"/>
        </w:rPr>
        <w:t>conceptuali</w:t>
      </w:r>
      <w:r w:rsidR="0052370F" w:rsidRPr="007C17A6">
        <w:rPr>
          <w:rFonts w:ascii="Times New Roman" w:hAnsi="Times New Roman" w:cs="Times New Roman"/>
          <w:noProof/>
          <w:color w:val="000000" w:themeColor="text1"/>
          <w:sz w:val="24"/>
          <w:szCs w:val="24"/>
          <w:lang w:val="en-GB"/>
        </w:rPr>
        <w:t>z</w:t>
      </w:r>
      <w:r w:rsidRPr="007C17A6">
        <w:rPr>
          <w:rFonts w:ascii="Times New Roman" w:hAnsi="Times New Roman" w:cs="Times New Roman"/>
          <w:noProof/>
          <w:color w:val="000000" w:themeColor="text1"/>
          <w:sz w:val="24"/>
          <w:szCs w:val="24"/>
          <w:lang w:val="en-GB"/>
        </w:rPr>
        <w:t>ation</w:t>
      </w:r>
      <w:r w:rsidRPr="007C17A6">
        <w:rPr>
          <w:rFonts w:ascii="Times New Roman" w:hAnsi="Times New Roman" w:cs="Times New Roman"/>
          <w:color w:val="000000" w:themeColor="text1"/>
          <w:sz w:val="24"/>
          <w:szCs w:val="24"/>
          <w:lang w:val="en-GB"/>
        </w:rPr>
        <w:t xml:space="preserve"> can be investigated using </w:t>
      </w:r>
      <w:r w:rsidR="0092011B" w:rsidRPr="007C17A6">
        <w:rPr>
          <w:rFonts w:ascii="Times New Roman" w:hAnsi="Times New Roman" w:cs="Times New Roman"/>
          <w:color w:val="000000" w:themeColor="text1"/>
          <w:sz w:val="24"/>
          <w:szCs w:val="24"/>
          <w:lang w:val="en-GB"/>
        </w:rPr>
        <w:t xml:space="preserve">biologically </w:t>
      </w:r>
      <w:r w:rsidRPr="007C17A6">
        <w:rPr>
          <w:rFonts w:ascii="Times New Roman" w:hAnsi="Times New Roman" w:cs="Times New Roman"/>
          <w:color w:val="000000" w:themeColor="text1"/>
          <w:sz w:val="24"/>
          <w:szCs w:val="24"/>
          <w:lang w:val="en-GB"/>
        </w:rPr>
        <w:t xml:space="preserve">constrained neurocomputational models. Here, we apply a spiking neuron model mimicking structure and connectivity of frontal, temporal and occipital areas to simulate semantic learning and symbol grounding in action and perception. As a result of Hebbian learning of the correlation structure of symbol, perception and action information, distributed cell assembly circuits emerged across various cortices of the network. These semantic circuits showed category-specific topographical distributions, reaching into </w:t>
      </w:r>
      <w:r w:rsidRPr="007C17A6">
        <w:rPr>
          <w:rFonts w:ascii="Times New Roman" w:hAnsi="Times New Roman" w:cs="Times New Roman"/>
          <w:noProof/>
          <w:color w:val="000000" w:themeColor="text1"/>
          <w:sz w:val="24"/>
          <w:szCs w:val="24"/>
          <w:lang w:val="en-GB"/>
        </w:rPr>
        <w:t>motor</w:t>
      </w:r>
      <w:r w:rsidRPr="007C17A6">
        <w:rPr>
          <w:rFonts w:ascii="Times New Roman" w:hAnsi="Times New Roman" w:cs="Times New Roman"/>
          <w:color w:val="000000" w:themeColor="text1"/>
          <w:sz w:val="24"/>
          <w:szCs w:val="24"/>
          <w:lang w:val="en-GB"/>
        </w:rPr>
        <w:t xml:space="preserve"> and visual areas for action- and visually-related words, respectively.</w:t>
      </w:r>
      <w:r w:rsidRPr="007C17A6">
        <w:rPr>
          <w:rFonts w:ascii="Times New Roman" w:hAnsi="Times New Roman" w:cs="Times New Roman"/>
          <w:color w:val="000000" w:themeColor="text1"/>
          <w:lang w:val="en-GB"/>
        </w:rPr>
        <w:t xml:space="preserve"> </w:t>
      </w:r>
      <w:r w:rsidRPr="007C17A6">
        <w:rPr>
          <w:rFonts w:ascii="Times New Roman" w:hAnsi="Times New Roman" w:cs="Times New Roman"/>
          <w:color w:val="000000" w:themeColor="text1"/>
          <w:sz w:val="24"/>
          <w:szCs w:val="24"/>
          <w:lang w:val="en-GB"/>
        </w:rPr>
        <w:t xml:space="preserve">All types of semantic circuits included large numbers of neurons in multimodal connector hub areas, which is explained by cortical connectivity structure and the resultant convergence of phonological and semantic information on these zones. Importantly, these semantic hub areas exhibited some category-specificity, which was less pronounced than that observed in primary and secondary modality-preferential cortices. The present neurocomputational model integrates seemingly </w:t>
      </w:r>
      <w:r w:rsidRPr="007C17A6">
        <w:rPr>
          <w:rFonts w:ascii="Times New Roman" w:hAnsi="Times New Roman" w:cs="Times New Roman"/>
          <w:noProof/>
          <w:color w:val="000000" w:themeColor="text1"/>
          <w:sz w:val="24"/>
          <w:szCs w:val="24"/>
          <w:lang w:val="en-GB"/>
        </w:rPr>
        <w:t>divergent</w:t>
      </w:r>
      <w:r w:rsidRPr="007C17A6">
        <w:rPr>
          <w:rFonts w:ascii="Times New Roman" w:hAnsi="Times New Roman" w:cs="Times New Roman"/>
          <w:color w:val="000000" w:themeColor="text1"/>
          <w:sz w:val="24"/>
          <w:szCs w:val="24"/>
          <w:lang w:val="en-GB"/>
        </w:rPr>
        <w:t xml:space="preserve"> experimental results about </w:t>
      </w:r>
      <w:r w:rsidRPr="007C17A6">
        <w:rPr>
          <w:rFonts w:ascii="Times New Roman" w:hAnsi="Times New Roman" w:cs="Times New Roman"/>
          <w:noProof/>
          <w:color w:val="000000" w:themeColor="text1"/>
          <w:sz w:val="24"/>
          <w:szCs w:val="24"/>
          <w:lang w:val="en-GB"/>
        </w:rPr>
        <w:t>conceptuali</w:t>
      </w:r>
      <w:r w:rsidR="0052370F" w:rsidRPr="007C17A6">
        <w:rPr>
          <w:rFonts w:ascii="Times New Roman" w:hAnsi="Times New Roman" w:cs="Times New Roman"/>
          <w:noProof/>
          <w:color w:val="000000" w:themeColor="text1"/>
          <w:sz w:val="24"/>
          <w:szCs w:val="24"/>
          <w:lang w:val="en-GB"/>
        </w:rPr>
        <w:t>z</w:t>
      </w:r>
      <w:r w:rsidRPr="007C17A6">
        <w:rPr>
          <w:rFonts w:ascii="Times New Roman" w:hAnsi="Times New Roman" w:cs="Times New Roman"/>
          <w:noProof/>
          <w:color w:val="000000" w:themeColor="text1"/>
          <w:sz w:val="24"/>
          <w:szCs w:val="24"/>
          <w:lang w:val="en-GB"/>
        </w:rPr>
        <w:t>ation</w:t>
      </w:r>
      <w:r w:rsidRPr="007C17A6">
        <w:rPr>
          <w:rFonts w:ascii="Times New Roman" w:hAnsi="Times New Roman" w:cs="Times New Roman"/>
          <w:color w:val="000000" w:themeColor="text1"/>
          <w:sz w:val="24"/>
          <w:szCs w:val="24"/>
          <w:lang w:val="en-GB"/>
        </w:rPr>
        <w:t xml:space="preserve"> and explains both semantic hubs and category-specific areas as an emergent process causally determined by two </w:t>
      </w:r>
      <w:r w:rsidRPr="007C17A6">
        <w:rPr>
          <w:rFonts w:ascii="Times New Roman" w:hAnsi="Times New Roman" w:cs="Times New Roman"/>
          <w:noProof/>
          <w:color w:val="000000" w:themeColor="text1"/>
          <w:sz w:val="24"/>
          <w:szCs w:val="24"/>
          <w:lang w:val="en-GB"/>
        </w:rPr>
        <w:t>major</w:t>
      </w:r>
      <w:r w:rsidRPr="007C17A6">
        <w:rPr>
          <w:rFonts w:ascii="Times New Roman" w:hAnsi="Times New Roman" w:cs="Times New Roman"/>
          <w:color w:val="000000" w:themeColor="text1"/>
          <w:sz w:val="24"/>
          <w:szCs w:val="24"/>
          <w:lang w:val="en-GB"/>
        </w:rPr>
        <w:t xml:space="preserve"> factors: neuroanatomical connectivity structure and correlated neuronal activation during language learning.</w:t>
      </w:r>
    </w:p>
    <w:bookmarkEnd w:id="2"/>
    <w:bookmarkEnd w:id="3"/>
    <w:p w14:paraId="38CFF256" w14:textId="77777777" w:rsidR="00B30D84" w:rsidRPr="007C17A6" w:rsidRDefault="00B30D84" w:rsidP="00E740D6">
      <w:pPr>
        <w:widowControl w:val="0"/>
        <w:spacing w:after="240" w:line="240" w:lineRule="auto"/>
        <w:contextualSpacing/>
        <w:rPr>
          <w:rFonts w:ascii="Times New Roman" w:eastAsia="Arial Unicode MS" w:hAnsi="Times New Roman" w:cs="Times New Roman"/>
          <w:b/>
          <w:color w:val="000000" w:themeColor="text1"/>
          <w:sz w:val="24"/>
          <w:szCs w:val="24"/>
        </w:rPr>
      </w:pPr>
    </w:p>
    <w:p w14:paraId="52C83474" w14:textId="77777777" w:rsidR="002E3312" w:rsidRPr="007C17A6" w:rsidRDefault="002E3312"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65FD4C15" w14:textId="77777777" w:rsidR="00B30D84" w:rsidRPr="007C17A6" w:rsidRDefault="00B30D84"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415CA68F" w14:textId="77777777" w:rsidR="00B30D84" w:rsidRPr="007C17A6" w:rsidRDefault="00B30D84"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04C4E1BA" w14:textId="77777777" w:rsidR="00B30D84" w:rsidRPr="007C17A6" w:rsidRDefault="00B30D84"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0B7B45BD" w14:textId="77777777" w:rsidR="00B30D84" w:rsidRPr="007C17A6" w:rsidRDefault="00B30D84"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2EC7CE88" w14:textId="77777777" w:rsidR="00B30D84" w:rsidRPr="007C17A6" w:rsidRDefault="00B30D84"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1F9D9F0B" w14:textId="77777777" w:rsidR="00B30D84" w:rsidRPr="007C17A6" w:rsidRDefault="00B30D84"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7D999A97" w14:textId="77777777" w:rsidR="00B30D84" w:rsidRPr="007C17A6" w:rsidRDefault="00B30D84"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235B4A3B" w14:textId="77777777" w:rsidR="00E740D6" w:rsidRPr="007C17A6" w:rsidRDefault="00E740D6"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77B3D3FF" w14:textId="77777777" w:rsidR="00E740D6" w:rsidRPr="007C17A6" w:rsidRDefault="00E740D6"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752775F4" w14:textId="77777777" w:rsidR="00E740D6" w:rsidRPr="007C17A6" w:rsidRDefault="00E740D6"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6C0860AE" w14:textId="77777777" w:rsidR="00E740D6" w:rsidRPr="007C17A6" w:rsidRDefault="00E740D6"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22C7B235" w14:textId="77777777" w:rsidR="00E740D6" w:rsidRPr="007C17A6" w:rsidRDefault="00E740D6"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7F766BA8" w14:textId="77777777" w:rsidR="00E740D6" w:rsidRPr="007C17A6" w:rsidRDefault="00E740D6"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041798D4" w14:textId="77777777" w:rsidR="00E740D6" w:rsidRPr="007C17A6" w:rsidRDefault="00E740D6"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4891E3DD" w14:textId="77777777" w:rsidR="00781EC7" w:rsidRPr="007C17A6" w:rsidRDefault="00781EC7"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3B6FFD89" w14:textId="77777777" w:rsidR="00781EC7" w:rsidRPr="007C17A6" w:rsidRDefault="00781EC7"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1D655AE5" w14:textId="77777777" w:rsidR="00781EC7" w:rsidRPr="007C17A6" w:rsidRDefault="00781EC7"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205FEFCA" w14:textId="77777777" w:rsidR="00781EC7" w:rsidRPr="007C17A6" w:rsidRDefault="00781EC7" w:rsidP="00E740D6">
      <w:pPr>
        <w:widowControl w:val="0"/>
        <w:spacing w:after="240" w:line="240" w:lineRule="auto"/>
        <w:contextualSpacing/>
        <w:rPr>
          <w:rFonts w:ascii="Times New Roman" w:eastAsia="Arial Unicode MS" w:hAnsi="Times New Roman" w:cs="Times New Roman"/>
          <w:color w:val="000000" w:themeColor="text1"/>
          <w:sz w:val="24"/>
          <w:szCs w:val="24"/>
        </w:rPr>
      </w:pPr>
    </w:p>
    <w:p w14:paraId="666CFEE0" w14:textId="77777777" w:rsidR="00A838DC" w:rsidRPr="007C17A6" w:rsidRDefault="00E5421A" w:rsidP="00E740D6">
      <w:pPr>
        <w:pStyle w:val="Heading1"/>
        <w:spacing w:line="240" w:lineRule="auto"/>
        <w:contextualSpacing/>
        <w:rPr>
          <w:rStyle w:val="Heading1Char"/>
          <w:rFonts w:ascii="Times New Roman" w:hAnsi="Times New Roman"/>
          <w:sz w:val="24"/>
          <w:szCs w:val="24"/>
        </w:rPr>
      </w:pPr>
      <w:r w:rsidRPr="007C17A6">
        <w:rPr>
          <w:rStyle w:val="Heading1Char"/>
          <w:rFonts w:ascii="Times New Roman" w:hAnsi="Times New Roman"/>
          <w:sz w:val="24"/>
          <w:szCs w:val="24"/>
        </w:rPr>
        <w:lastRenderedPageBreak/>
        <w:t xml:space="preserve">Introduction </w:t>
      </w:r>
    </w:p>
    <w:p w14:paraId="11B60256" w14:textId="5CB5E997" w:rsidR="0077421C" w:rsidRPr="007C17A6" w:rsidRDefault="00E5421A" w:rsidP="0077421C">
      <w:pPr>
        <w:spacing w:before="120" w:after="120" w:line="240" w:lineRule="auto"/>
        <w:contextualSpacing/>
        <w:jc w:val="both"/>
        <w:rPr>
          <w:rFonts w:ascii="Times New Roman" w:hAnsi="Times New Roman" w:cs="Times New Roman"/>
          <w:color w:val="000000" w:themeColor="text1"/>
          <w:sz w:val="24"/>
          <w:szCs w:val="24"/>
          <w:lang w:val="en-GB"/>
        </w:rPr>
      </w:pPr>
      <w:r w:rsidRPr="007C17A6">
        <w:rPr>
          <w:rFonts w:ascii="Times New Roman" w:hAnsi="Times New Roman" w:cs="Times New Roman"/>
          <w:color w:val="000000" w:themeColor="text1"/>
          <w:sz w:val="24"/>
          <w:szCs w:val="24"/>
          <w:lang w:val="en-GB"/>
        </w:rPr>
        <w:t xml:space="preserve">Although the brain mechanisms of meaning processing have </w:t>
      </w:r>
      <w:r w:rsidRPr="007C17A6">
        <w:rPr>
          <w:rFonts w:ascii="Times New Roman" w:hAnsi="Times New Roman" w:cs="Times New Roman"/>
          <w:noProof/>
          <w:color w:val="000000" w:themeColor="text1"/>
          <w:sz w:val="24"/>
          <w:szCs w:val="24"/>
          <w:lang w:val="en-GB"/>
        </w:rPr>
        <w:t>been investigated</w:t>
      </w:r>
      <w:r w:rsidRPr="007C17A6">
        <w:rPr>
          <w:rFonts w:ascii="Times New Roman" w:hAnsi="Times New Roman" w:cs="Times New Roman"/>
          <w:color w:val="000000" w:themeColor="text1"/>
          <w:sz w:val="24"/>
          <w:szCs w:val="24"/>
          <w:lang w:val="en-GB"/>
        </w:rPr>
        <w:t xml:space="preserve"> for many years, cognitive neuroscientists have not reached a consensus about the function and the </w:t>
      </w:r>
      <w:r w:rsidRPr="007C17A6">
        <w:rPr>
          <w:rFonts w:ascii="Times New Roman" w:hAnsi="Times New Roman" w:cs="Times New Roman"/>
          <w:noProof/>
          <w:color w:val="000000" w:themeColor="text1"/>
          <w:sz w:val="24"/>
          <w:szCs w:val="24"/>
          <w:lang w:val="en-GB"/>
        </w:rPr>
        <w:t>organi</w:t>
      </w:r>
      <w:r w:rsidR="0052370F" w:rsidRPr="007C17A6">
        <w:rPr>
          <w:rFonts w:ascii="Times New Roman" w:hAnsi="Times New Roman" w:cs="Times New Roman"/>
          <w:noProof/>
          <w:color w:val="000000" w:themeColor="text1"/>
          <w:sz w:val="24"/>
          <w:szCs w:val="24"/>
          <w:lang w:val="en-GB"/>
        </w:rPr>
        <w:t>z</w:t>
      </w:r>
      <w:r w:rsidRPr="007C17A6">
        <w:rPr>
          <w:rFonts w:ascii="Times New Roman" w:hAnsi="Times New Roman" w:cs="Times New Roman"/>
          <w:noProof/>
          <w:color w:val="000000" w:themeColor="text1"/>
          <w:sz w:val="24"/>
          <w:szCs w:val="24"/>
          <w:lang w:val="en-GB"/>
        </w:rPr>
        <w:t>ational</w:t>
      </w:r>
      <w:r w:rsidRPr="007C17A6">
        <w:rPr>
          <w:rFonts w:ascii="Times New Roman" w:hAnsi="Times New Roman" w:cs="Times New Roman"/>
          <w:color w:val="000000" w:themeColor="text1"/>
          <w:sz w:val="24"/>
          <w:szCs w:val="24"/>
          <w:lang w:val="en-GB"/>
        </w:rPr>
        <w:t xml:space="preserve"> principles of semantic knowledge. A range of neuroimaging and neuropsychological patient studies suggest a contribution of several cortical areas to semantic processing, but the precise role of each of them is still subject of debate. Cognitive and </w:t>
      </w:r>
      <w:r w:rsidRPr="007C17A6">
        <w:rPr>
          <w:rFonts w:ascii="Times New Roman" w:hAnsi="Times New Roman" w:cs="Times New Roman"/>
          <w:noProof/>
          <w:color w:val="000000" w:themeColor="text1"/>
          <w:sz w:val="24"/>
          <w:szCs w:val="24"/>
          <w:lang w:val="en-GB"/>
        </w:rPr>
        <w:t>neuroscientists</w:t>
      </w:r>
      <w:r w:rsidRPr="007C17A6">
        <w:rPr>
          <w:rFonts w:ascii="Times New Roman" w:hAnsi="Times New Roman" w:cs="Times New Roman"/>
          <w:color w:val="000000" w:themeColor="text1"/>
          <w:sz w:val="24"/>
          <w:szCs w:val="24"/>
          <w:lang w:val="en-GB"/>
        </w:rPr>
        <w:t xml:space="preserve"> have suggested that all different semantic categories of words are equally processed and stored in a central ‘symbolic system’ cortically located in a ‘semantic hub</w:t>
      </w:r>
      <w:r w:rsidRPr="007C17A6">
        <w:rPr>
          <w:rFonts w:ascii="Times New Roman" w:hAnsi="Times New Roman" w:cs="Times New Roman"/>
          <w:noProof/>
          <w:color w:val="000000" w:themeColor="text1"/>
          <w:sz w:val="24"/>
          <w:szCs w:val="24"/>
          <w:lang w:val="en-GB"/>
        </w:rPr>
        <w:t>’.</w:t>
      </w:r>
      <w:r w:rsidRPr="007C17A6">
        <w:rPr>
          <w:rFonts w:ascii="Times New Roman" w:hAnsi="Times New Roman" w:cs="Times New Roman"/>
          <w:color w:val="000000" w:themeColor="text1"/>
          <w:sz w:val="24"/>
          <w:szCs w:val="24"/>
          <w:lang w:val="en-GB"/>
        </w:rPr>
        <w:t xml:space="preserve"> However, ‘semantic hubs’ have been proposed in different cortical regions, including the anterior-inferior-temporal lobe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"10.1038/nrn2277", "ISBN" : "1471-0048 (Electronic)\\n1471-003X (Linking)", "ISSN" : "1471-0048", "PMID" : "18026167", "abstract" : "Mr M, a patient with semantic dementia--a neurodegenerative disease that is characterized by the gradual deterioration of semantic memory--was being driven through the countryside to visit a friend and was able to remind his wife where to turn along the not-recently-travelled route. Then, pointing at the sheep in the field, he asked her \"What are those things?\" Prior to the onset of symptoms in his late 40s, this man had normal semantic memory. What has gone wrong in his brain to produce this dramatic and selective erosion of conceptual knowledge?", "author" : [ { "dropping-particle" : "", "family" : "Patterson", "given" : "Karalyn", "non-dropping-particle" : "", "parse-names" : false, "suffix" : "" }, { "dropping-particle" : "", "family" : "Nestor", "given" : "Peter J", "non-dropping-particle" : "", "parse-names" : false, "suffix" : "" }, { "dropping-particle" : "", "family" : "Rogers", "given" : "Timothy T", "non-dropping-particle" : "", "parse-names" : false, "suffix" : "" } ], "container-title" : "Nature reviews. Neuroscience", "id" : "ITEM-1", "issue" : "12", "issued" : { "date-parts" : [ [ "2007" ] ] }, "page" : "976-87", "title" : "Where do you know what you know? The representation of semantic knowledge in the human brain.", "type" : "article-journal", "volume" : "8" }, "uris" : [ "http://www.mendeley.com/documents/?uuid=e157aed2-0a91-41a6-ac4f-6835b10e583a" ] }, { "id" : "ITEM-2", "itemData" : { "ISSN" : "1471-003X", "abstract" : "Semantic cognition refers to our ability to use, manipulate and generalize knowledge that is acquired over the lifespan to support innumerable verbal and non-verbal behaviours. This Review summarizes key findings and issues arising from a decade of research into the neurocognitive and neurocomputational underpinnings of this ability, leading to a new framework that we term controlled semantic cognition (CSC). CSC offers solutions to long-standing queries in philosophy and cognitive science, and yields a convergent framework for understanding the neural and computational bases of healthy semantic cognition and its dysfunction in brain disorders.", "author" : [ { "dropping-particle" : "", "family" : "Ralph", "given" : "Matthew A Lambon", "non-dropping-particle" : "", "parse-names" : false, "suffix" : "" }, { "dropping-particle" : "", "family" : "Jefferies", "given" : "Elizabeth", "non-dropping-particle" : "", "parse-names" : false, "suffix" : "" }, { "dropping-particle" : "", "family" : "Patterson", "given" : "Karalyn", "non-dropping-particle" : "", "parse-names" : false, "suffix" : "" }, { "dropping-particle" : "", "family" : "Rogers", "given" : "Timothy T", "non-dropping-particle" : "", "parse-names" : false, "suffix" : "" } ], "container-title" : "Nat Rev Neurosci", "id" : "ITEM-2", "issue" : "1", "issued" : { "date-parts" : [ [ "2017", "1" ] ] }, "page" : "42-55", "publisher" : "Nature Publishing Group, a division of Macmillan Publishers Limited. All Rights Reserved.", "title" : "The neural and computational bases of semantic cognition", "type" : "article-journal", "volume" : "18" }, "uris" : [ "http://www.mendeley.com/documents/?uuid=94be90ab-f225-4636-822d-b6228f620275" ] } ], "mendeley" : { "formattedCitation" : "(Patterson et al., 2007; Ralph et al., 2017)", "plainTextFormattedCitation" : "(Patterson et al., 2007; Ralph et al., 2017)", "previouslyFormattedCitation" : "(Patterson et al., 2007; Ralph et al., 2017)" }, "properties" : {  }, "schema" : "https://github.com/citation-style-language/schema/raw/master/csl-citation.json" }</w:instrText>
      </w:r>
      <w:r w:rsidRPr="007C17A6">
        <w:rPr>
          <w:rFonts w:ascii="Times New Roman" w:hAnsi="Times New Roman" w:cs="Times New Roman"/>
        </w:rPr>
        <w:fldChar w:fldCharType="separate"/>
      </w:r>
      <w:bookmarkStart w:id="4" w:name="__Fieldmark__135_1687356023"/>
      <w:bookmarkStart w:id="5" w:name="__Fieldmark__433_582625014"/>
      <w:bookmarkStart w:id="6" w:name="__Fieldmark__147_2073936654"/>
      <w:bookmarkStart w:id="7" w:name="__Fieldmark__191_531023477"/>
      <w:r w:rsidR="00C00A10" w:rsidRPr="007C17A6">
        <w:rPr>
          <w:rFonts w:ascii="Times New Roman" w:hAnsi="Times New Roman" w:cs="Times New Roman"/>
          <w:noProof/>
          <w:color w:val="000000" w:themeColor="text1"/>
          <w:sz w:val="24"/>
          <w:szCs w:val="24"/>
          <w:lang w:val="en-GB"/>
        </w:rPr>
        <w:t>(Patterson et al., 2007; Ralph et al., 2017)</w:t>
      </w:r>
      <w:r w:rsidRPr="007C17A6">
        <w:rPr>
          <w:rFonts w:ascii="Times New Roman" w:hAnsi="Times New Roman" w:cs="Times New Roman"/>
        </w:rPr>
        <w:fldChar w:fldCharType="end"/>
      </w:r>
      <w:bookmarkEnd w:id="4"/>
      <w:bookmarkEnd w:id="5"/>
      <w:bookmarkEnd w:id="6"/>
      <w:bookmarkEnd w:id="7"/>
      <w:r w:rsidRPr="007C17A6">
        <w:rPr>
          <w:rFonts w:ascii="Times New Roman" w:hAnsi="Times New Roman" w:cs="Times New Roman"/>
          <w:color w:val="000000" w:themeColor="text1"/>
        </w:rPr>
        <w:t>,</w:t>
      </w:r>
      <w:r w:rsidRPr="007C17A6">
        <w:rPr>
          <w:rFonts w:ascii="Times New Roman" w:hAnsi="Times New Roman" w:cs="Times New Roman"/>
          <w:color w:val="000000" w:themeColor="text1"/>
          <w:sz w:val="24"/>
          <w:szCs w:val="24"/>
          <w:lang w:val="en-GB"/>
        </w:rPr>
        <w:t xml:space="preserve"> the anterior-inferior-parietal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"10.1016/j.tics.2011.10.001", "ISBN" : "2122633255", "ISSN" : "13646613", "PMID" : "22001867", "abstract" : "Semantic memory includes all acquired knowledge about the world and is the basis for nearly all human activity, yet its neurobiological foundation is only now becoming clear. Recent neuroimaging studies demonstrate two striking results: the participation of modality-specific sensory, motor, and emotion systems in language comprehension, and the existence of large brain regions that participate in comprehension tasks but are not modality-specific. These latter regions, which include the inferior parietal lobe and much of the temporal lobe, lie at convergences of multiple perceptual processing streams. These convergences enable increasingly abstract, supramodal representations of perceptual experience that support a variety of conceptual functions including object recognition, social cognition, language, and the remarkable human capacity to remember the past and imagine the future. ?? 2011 Elsevier Ltd.", "author" : [ { "dropping-particle" : "", "family" : "Binder", "given" : "Jeffrey R.", "non-dropping-particle" : "", "parse-names" : false, "suffix" : "" }, { "dropping-particle" : "", "family" : "Desai", "given" : "Rutvik H.", "non-dropping-particle" : "", "parse-names" : false, "suffix" : "" } ], "container-title" : "Trends in Cognitive Sciences", "id" : "ITEM-1", "issue" : "11", "issued" : { "date-parts" : [ [ "2011" ] ] }, "page" : "527-536", "title" : "The neurobiology of semantic memory", "type" : "article-journal", "volume" : "15" }, "uris" : [ "http://www.mendeley.com/documents/?uuid=43318fa4-cf1d-4698-91cf-e5c16b77ff8e" ] }, { "id" : "ITEM-2", "itemData" : { "DOI" : "10.1093/cercor/bhp055", "ISBN" : "1460-2199 (Electronic)\\r1460-2199 (Linking)", "ISSN" : "10473211", "PMID" : "19329570", "abstract" : "Semantic memory refers to knowledge about people, objects, actions, relations, self, and culture acquired through experience. The neural systems that store and retrieve this information have been studied for many years, but a consensus regarding their identity has not been reached. Using strict inclusion criteria, we analyzed 120 functional neuroimaging studies focusing on semantic processing. Reliable areas of activation in these studies were identified using the activation likelihood estimate (ALE) technique. These activations formed a distinct, left-lateralized network comprised of 7 regions: posterior inferior parietal lobe, middle temporal gyrus, fusiform and parahippocampal gyri, dorsomedial prefrontal cortex, inferior frontal gyrus, ventromedial prefrontal cortex, and posterior cingulate gyrus. Secondary analyses showed specific subregions of this network associated with knowledge of actions, manipulable artifacts, abstract concepts, and concrete concepts. The cortical regions involved in semantic processing can be grouped into 3 broad categories: posterior multimodal and heteromodal association cortex, heteromodal prefrontal cortex, and medial limbic regions. The expansion of these regions in the human relative to the nonhuman primate brain may explain uniquely human capacities to use language productively, plan, solve problems, and create cultural and technological artifacts, all of which depend on the fluid and efficient retrieval and manipulation of semantic knowledge.", "author" : [ { "dropping-particle" : "", "family" : "Binder", "given" : "Jeffrey R.", "non-dropping-particle" : "", "parse-names" : false, "suffix" : "" }, { "dropping-particle" : "", "family" : "Desai", "given" : "Rutvik H.", "non-dropping-particle" : "", "parse-names" : false, "suffix" : "" }, { "dropping-particle" : "", "family" : "Graves", "given" : "William W.", "non-dropping-particle" : "", "parse-names" : false, "suffix" : "" }, { "dropping-particle" : "", "family" : "Conant", "given" : "Lisa L.", "non-dropping-particle" : "", "parse-names" : false, "suffix" : "" } ], "container-title" : "Cerebral Cortex", "edition" : "2009/03/31", "id" : "ITEM-2", "issue" : "12", "issued" : { "date-parts" : [ [ "2009" ] ] }, "language" : "eng", "note" : "Binder, Jeffrey R\nDesai, Rutvik H\nGraves, William W\nConant, Lisa L\nF32 HD056767/HD/NICHD NIH HHS/\nR01 DC006287/DC/NIDCD NIH HHS/\nR01 NS33576/NS/NINDS NIH HHS/\nR01 NS35929/NS/NINDS NIH HHS/\nR03 DC008416/DC/NIDCD NIH HHS/\nT32 MH019992/MH/NIMH NIH HHS/\nNew York, N.Y. : 1991\nCereb Cortex. 2009 Dec;19(12):2767-96. doi: 10.1093/cercor/bhp055. Epub 2009 Mar 27.", "page" : "2767-2796", "title" : "Where is the semantic system? A critical review and meta-analysis of 120 functional neuroimaging studies", "type" : "article-journal", "volume" : "19" }, "uris" : [ "http://www.mendeley.com/documents/?uuid=eab197cd-bd1c-4782-a5a1-11da7afe8b15" ] } ], "mendeley" : { "formattedCitation" : "(Binder et al., 2009; Binder and Desai, 2011)", "plainTextFormattedCitation" : "(Binder et al., 2009; Binder and Desai, 2011)", "previouslyFormattedCitation" : "(Binder et al., 2009; Binder and Desai, 2011)" }, "properties" : {  }, "schema" : "https://github.com/citation-style-language/schema/raw/master/csl-citation.json" }</w:instrText>
      </w:r>
      <w:r w:rsidRPr="007C17A6">
        <w:rPr>
          <w:rFonts w:ascii="Times New Roman" w:hAnsi="Times New Roman" w:cs="Times New Roman"/>
        </w:rPr>
        <w:fldChar w:fldCharType="separate"/>
      </w:r>
      <w:bookmarkStart w:id="8" w:name="__Fieldmark__147_1687356023"/>
      <w:bookmarkStart w:id="9" w:name="__Fieldmark__440_582625014"/>
      <w:bookmarkStart w:id="10" w:name="__Fieldmark__199_531023477"/>
      <w:bookmarkStart w:id="11" w:name="__Fieldmark__159_2073936654"/>
      <w:r w:rsidR="001C3C6B" w:rsidRPr="007C17A6">
        <w:rPr>
          <w:rFonts w:ascii="Times New Roman" w:hAnsi="Times New Roman" w:cs="Times New Roman"/>
          <w:noProof/>
          <w:color w:val="000000" w:themeColor="text1"/>
          <w:sz w:val="24"/>
          <w:szCs w:val="24"/>
          <w:lang w:val="en-GB"/>
        </w:rPr>
        <w:t>(Binder et al., 2009; Binder and Desai, 2011)</w:t>
      </w:r>
      <w:r w:rsidRPr="007C17A6">
        <w:rPr>
          <w:rFonts w:ascii="Times New Roman" w:hAnsi="Times New Roman" w:cs="Times New Roman"/>
        </w:rPr>
        <w:fldChar w:fldCharType="end"/>
      </w:r>
      <w:bookmarkEnd w:id="8"/>
      <w:bookmarkEnd w:id="9"/>
      <w:bookmarkEnd w:id="10"/>
      <w:bookmarkEnd w:id="11"/>
      <w:r w:rsidRPr="007C17A6">
        <w:rPr>
          <w:rFonts w:ascii="Times New Roman" w:hAnsi="Times New Roman" w:cs="Times New Roman"/>
          <w:color w:val="000000" w:themeColor="text1"/>
          <w:sz w:val="24"/>
          <w:szCs w:val="24"/>
          <w:lang w:val="en-GB"/>
        </w:rPr>
        <w:t xml:space="preserve"> and the posterior-inferior-frontal cortex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"10.1146/annurev.neuro.25.112701.142946", "ISBN" : "- 0147-006x", "ISSN" : "0147-006X", "PMID" : "12052907", "abstract" : "s Abstract Until recently, our understanding of how language is organized in the brain depended on analysis of behavioral deficits in patients with fortuitously placed lesions. The availability of functional magnetic resonance imaging (fMRI) for in vivo analysis of the normal brain has revolutionized the study of language. This review discusses three lines of fMRI research into how the semantic system is organized in the adult brain. These are (a) the role of the left inferior frontal lobe in semantic processing and dissociations from other frontal lobe language functions, (b) the organization of categories of objects and concepts in the temporal lobe, and (c) the role of the right hemisphere in comprehending contextual and figurative meaning. Together, these lines of research broaden our understanding of how the brain stores, retrieves, and makes sense of semantic information, and they challenge some commonly held notions of functional modularity in the language system.", "author" : [ { "dropping-particle" : "", "family" : "Bookheimer", "given" : "Susan", "non-dropping-particle" : "", "parse-names" : false, "suffix" : "" } ], "container-title" : "Annu. Rev. Neurosci", "id" : "ITEM-1", "issued" : { "date-parts" : [ [ "2002" ] ] }, "page" : "151-88", "title" : "Functional MRI of language: new approaches to understanding the cortical organization of semantic processing", "type" : "article-journal", "volume" : "25" }, "uris" : [ "http://www.mendeley.com/documents/?uuid=e2d05746-d377-4eab-a79e-707503280f68" ] }, { "id" : "ITEM-2", "itemData" : { "DOI" : "10.1073/pnas.95.3.899", "ISBN" : "00278424 (ISSN)", "ISSN" : "00278424", "PMID" : "9448257", "abstract" : "Reading and listening involve complex psychological processes that recruit many brain areas. The anatomy of processing English words has been studied by a variety of imaging methods. Although there is widespread agreement on the general anatomical areas involved in comprehending words, there are still disputes about the computations that go on in these areas. Examination of the time relations (circuitry) among these anatomical areas can aid in understanding their computations. In this paper, we concentrate on tasks that involve obtaining the meaning of a word in isolation or in relation to a sentence. Our current data support a finding in the literature that frontal semantic areas are active well before posterior areas. We use the subject's attention to amplify relevant brain areas involved either in semantic classification or in judging the relation of the word to a sentence to test the hypothesis that frontal areas are concerned with lexical semantics and posterior areas are more involved in comprehension of propositions that involve several words.", "author" : [ { "dropping-particle" : "", "family" : "Posner", "given" : "M I", "non-dropping-particle" : "", "parse-names" : false, "suffix" : "" }, { "dropping-particle" : "", "family" : "Pavese", "given" : "a", "non-dropping-particle" : "", "parse-names" : false, "suffix" : "" } ], "container-title" : "Proceedings of the National Academy of Sciences of the United States of America", "id" : "ITEM-2", "issue" : "3", "issued" : { "date-parts" : [ [ "1998" ] ] }, "note" : "0027-8424\nJournal Article", "page" : "899-905", "title" : "Anatomy of word and sentence meaning.", "type" : "article-journal", "volume" : "95" }, "uris" : [ "http://www.mendeley.com/documents/?uuid=52f89b43-8dc5-47b2-8e3e-1137bcefb77b" ] }, { "id" : "ITEM-3", "itemData" : { "DOI" : "10.1093/cercor/bhw379", "ISSN" : "1047-3211", "PMID" : "28077514", "abstract" : "Language comprehension engages a distributed network of frontotemporal, parietal, and sensorimotor regions, but it is still unclear how meaning of words and their semantic relationships are represented and processed within these regions and to which degrees lexico-semantic representations differ between regions and semantic types. We used fMRI and representational similarity analysis to relate word-elicited multivoxel patterns to semantic similarity between action and object words. In left inferior frontal (BA 44-45-47), left posterior middle temporal and left precentral cortex, the similarity of brain response patterns reflected semantic similarity among action-related verbs, as well as across lexical classes-between action verbs and tool-related nouns and, to a degree, between action verbs and food nouns, but not between action verbs and animal nouns. Instead, posterior inferior temporal cortex exhibited a reverse response pattern, which reflected the semantic similarity among object-related nouns, but not action-related words. These results show that semantic similarity is encoded by a range of cortical areas, including multimodal association (e.g., anterior inferior frontal, posterior middle temporal) and modality-preferential (premotor) cortex and that the representational geometries in these regions are partly dependent on semantic type, with semantic similarity among action-related words crossing lexical-semantic category boundaries.", "author" : [ { "dropping-particle" : "", "family" : "Carota", "given" : "Francesca", "non-dropping-particle" : "", "parse-names" : false, "suffix" : "" }, { "dropping-particle" : "", "family" : "Kriegeskorte", "given" : "Nikolaus", "non-dropping-particle" : "", "parse-names" : false, "suffix" : "" }, { "dropping-particle" : "", "family" : "Nili", "given" : "Hamed", "non-dropping-particle" : "", "parse-names" : false, "suffix" : "" }, { "dropping-particle" : "", "family" : "Pulverm\u00fcller", "given" : "Friedemann", "non-dropping-particle" : "", "parse-names" : false, "suffix" : "" } ], "container-title" : "Cerebral Cortex", "id" : "ITEM-3", "issued" : { "date-parts" : [ [ "2017" ] ] }, "publisher" : "Oxford Univ Press", "title" : "Representational Similarity Mapping of Distributional Semantics in Left Inferior Frontal, Middle Temporal, and Motor Cortex", "type" : "article-journal" }, "uris" : [ "http://www.mendeley.com/documents/?uuid=b1b63122-2a13-44aa-815b-c05b92e86908", "http://www.mendeley.com/documents/?uuid=985a9ba8-6f2e-4dcc-8a01-3ab3599d39bd" ] }, { "id" : "ITEM-4", "itemData" : { "ISSN" : "0006-8950", "author" : [ { "dropping-particle" : "", "family" : "Tate", "given" : "Matthew C", "non-dropping-particle" : "", "parse-names" : false, "suffix" : "" }, { "dropping-particle" : "", "family" : "Herbet", "given" : "Guillaume", "non-dropping-particle" : "", "parse-names" : false, "suffix" : "" }, { "dropping-particle" : "", "family" : "Moritz-Gasser", "given" : "Sylvie", "non-dropping-particle" : "", "parse-names" : false, "suffix" : "" }, { "dropping-particle" : "", "family" : "Tate", "given" : "Joseph E", "non-dropping-particle" : "", "parse-names" : false, "suffix" : "" }, { "dropping-particle" : "", "family" : "Duffau", "given" : "Hugues", "non-dropping-particle" : "", "parse-names" : false, "suffix" : "" } ], "container-title" : "Brain", "id" : "ITEM-4", "issue" : "10", "issued" : { "date-parts" : [ [ "2014" ] ] }, "page" : "2773-2782", "publisher" : "Oxford Univ Press", "title" : "Probabilistic map of critical functional regions of the human cerebral cortex: Broca\u2019s area revisited", "type" : "article-journal", "volume" : "137" }, "uris" : [ "http://www.mendeley.com/documents/?uuid=836ab5ff-5d1c-4395-a425-5ed7e9149f9f", "http://www.mendeley.com/documents/?uuid=12b6e728-dd35-461f-a612-e22d60954eb2" ] }, { "id" : "ITEM-5", "itemData" : { "DOI" : "10.3389/fnhum.2016.00435", "ISSN" : "1662-5161", "PMID" : "27708566", "abstract" : "In the neuroscience of language, phonemes are frequently described as multimodal units whose neuronal representations are distributed across perisylvian cortical regions, including auditory and sensorimotor areas. A different position views phonemes primarily as acoustic entities with posterior temporal localization, which are functionally independent from frontoparietal articulatory programs. To address this current controversy, we here discuss experimental results from neuroimaging (fMRI) as well as transcranial magnetic stimulation (TMS) studies. On first glance, a mixed picture emerges, with earlier research documenting neurofunctional distinctions between phonemes in both temporal and frontoparietal sensorimotor systems, but some recent work seemingly failing to replicate the latter. Detailed analysis of methodological differences between studies reveals that the way experiments are set up explains whether sensorimotor cortex maps phonological information during speech perception or not. In particular, acoustic noise during the experiment and \u2018motor noise\u2019 caused by button press tasks work against the frontoparietal manifestation of phonemes. We highlight recent studies using sparse imaging and passive speech perception tasks along with multivariate pattern analysis (MVPA) and especially representational similarity analysis (RSA), which succeeded in separating acoustic-phonological from general-acoustic processes and in mapping specific phonological information on temporal and frontoparietal regions. The question about a causal role of sensorimotor cortex on speech perception and understanding is addressed by reviewing recent TMS studies. We conclude that frontoparietal cortices, including ventral motor and somatosensory areas, reflect phonological information during speech perception and exert a causal influence on understanding.", "author" : [ { "dropping-particle" : "", "family" : "Schomers", "given" : "Malte R.", "non-dropping-particle" : "", "parse-names" : false, "suffix" : "" }, { "dropping-particle" : "", "family" : "Pulverm\u00fcller", "given" : "Friedemann", "non-dropping-particle" : "", "parse-names" : false, "suffix" : "" } ], "container-title" : "Frontiers in Human Neuroscience", "id" : "ITEM-5", "issued" : { "date-parts" : [ [ "2016" ] ] }, "publisher" : "Frontiers Media SA", "title" : "Is the Sensorimotor Cortex Relevant for Speech Perception and Understanding? An Integrative Review", "type" : "article-journal", "volume" : "10" }, "uris" : [ "http://www.mendeley.com/documents/?uuid=f80d797e-fecd-4234-b50a-29262b9917c7" ] } ], "mendeley" : { "formattedCitation" : "(Bookheimer, 2002; Carota et al., 2017; Posner and Pavese, 1998; Schomers and Pulverm\u00fcller, 2016; Tate et al., 2014)", "plainTextFormattedCitation" : "(Bookheimer, 2002; Carota et al., 2017; Posner and Pavese, 1998; Schomers and Pulverm\u00fcller, 2016; Tate et al., 2014)", "previouslyFormattedCitation" : "(Bookheimer, 2002; Carota et al., 2017; Posner and Pavese, 1998; Schomers and Pulverm\u00fcller, 2016; Tate et al., 2014)" }, "properties" : {  }, "schema" : "https://github.com/citation-style-language/schema/raw/master/csl-citation.json" }</w:instrText>
      </w:r>
      <w:r w:rsidRPr="007C17A6">
        <w:rPr>
          <w:rFonts w:ascii="Times New Roman" w:hAnsi="Times New Roman" w:cs="Times New Roman"/>
        </w:rPr>
        <w:fldChar w:fldCharType="separate"/>
      </w:r>
      <w:bookmarkStart w:id="12" w:name="__Fieldmark__158_1687356023"/>
      <w:bookmarkStart w:id="13" w:name="__Fieldmark__447_582625014"/>
      <w:bookmarkStart w:id="14" w:name="__Fieldmark__206_531023477"/>
      <w:bookmarkStart w:id="15" w:name="__Fieldmark__170_2073936654"/>
      <w:r w:rsidR="00C00A10" w:rsidRPr="007C17A6">
        <w:rPr>
          <w:rFonts w:ascii="Times New Roman" w:hAnsi="Times New Roman" w:cs="Times New Roman"/>
          <w:noProof/>
          <w:color w:val="000000" w:themeColor="text1"/>
          <w:sz w:val="24"/>
          <w:szCs w:val="24"/>
          <w:lang w:val="en-GB"/>
        </w:rPr>
        <w:t>(Bookheimer, 2002; Carota et al., 2017; Posner and Pavese, 1998; Schomers and Pulvermüller, 2016; Tate et al., 2014)</w:t>
      </w:r>
      <w:r w:rsidRPr="007C17A6">
        <w:rPr>
          <w:rFonts w:ascii="Times New Roman" w:hAnsi="Times New Roman" w:cs="Times New Roman"/>
        </w:rPr>
        <w:fldChar w:fldCharType="end"/>
      </w:r>
      <w:bookmarkEnd w:id="12"/>
      <w:bookmarkEnd w:id="13"/>
      <w:bookmarkEnd w:id="14"/>
      <w:bookmarkEnd w:id="15"/>
      <w:r w:rsidRPr="007C17A6">
        <w:rPr>
          <w:rFonts w:ascii="Times New Roman" w:hAnsi="Times New Roman" w:cs="Times New Roman"/>
          <w:sz w:val="24"/>
          <w:szCs w:val="24"/>
          <w:lang w:val="en-GB"/>
        </w:rPr>
        <w:t>.</w:t>
      </w:r>
      <w:r w:rsidR="00D54BE4" w:rsidRPr="007C17A6">
        <w:rPr>
          <w:rFonts w:ascii="Times New Roman" w:hAnsi="Times New Roman" w:cs="Times New Roman"/>
          <w:color w:val="000000" w:themeColor="text1"/>
          <w:sz w:val="24"/>
          <w:szCs w:val="24"/>
          <w:lang w:val="en-GB"/>
        </w:rPr>
        <w:t xml:space="preserve"> Over and above semantic </w:t>
      </w:r>
      <w:r w:rsidRPr="007C17A6">
        <w:rPr>
          <w:rFonts w:ascii="Times New Roman" w:hAnsi="Times New Roman" w:cs="Times New Roman"/>
          <w:color w:val="000000" w:themeColor="text1"/>
          <w:sz w:val="24"/>
          <w:szCs w:val="24"/>
          <w:lang w:val="en-GB"/>
        </w:rPr>
        <w:t xml:space="preserve">hubs generally contributing to all types of semantic processing, the phenomenon of category-specific semantic areas has long been in focus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"10.1038/334428a0", "ISBN" : "0028-0836 (Print)\\r0028-0836 (Linking)", "ISSN" : "0028-0836", "PMID" : "3261389", "abstract" : "Patients with cerebral lesions offer a unique opportunity to investigate the organization of meaning systems in the brain. Clinical neurologists have long been aware that knowledge of particular classes or categories of information may be selectively impaired in some cases and selectively spared in others. For example knowledge of letters, colours, objects, or people may be lost as a consequence of damage to the left hemisphere of the brain. Recently there has been quantitative evidence for even more specific impairment and preservation of particular classes of knowledge. More recently the evidence for knowledge of living things as compared with inanimate objects is particularly striking. Such observations have suggested that our semantic knowledge base is categorical in its organization. In this preliminary report, we describe a patient whose semantic knowledge deficit was not only category specific, but also modality specific. Although his knowledge of the visual world was almost entirely normal, his knowledge of living things (but not objects!) was gravely impaired when assessed in the verbal domain. These findings call into question the widely accepted view that the brain has a single all-purpose meaning store.", "author" : [ { "dropping-particle" : "", "family" : "McCarthy", "given" : "R A", "non-dropping-particle" : "", "parse-names" : false, "suffix" : "" }, { "dropping-particle" : "", "family" : "Warrington", "given" : "E K", "non-dropping-particle" : "", "parse-names" : false, "suffix" : "" } ], "container-title" : "Nature", "id" : "ITEM-1", "issue" : "6181", "issued" : { "date-parts" : [ [ "1988" ] ] }, "note" : "Reprint Status: In File", "page" : "428-430", "title" : "Evidence for modality-specific meaning systems in the brain", "type" : "article-journal", "volume" : "334" }, "uris" : [ "http://www.mendeley.com/documents/?uuid=ea4e5fd6-45f0-4221-8f92-020b5a90520d" ] }, { "id" : "ITEM-2", "itemData" : { "author" : [ { "dropping-particle" : "", "family" : "Shallice", "given" : "T", "non-dropping-particle" : "", "parse-names" : false, "suffix" : "" } ], "id" : "ITEM-2", "issued" : { "date-parts" : [ [ "1988" ] ] }, "note" : "Reprint Status: In File", "publisher" : "Cambridge University Press", "publisher-place" : "New York", "title" : "From neuropsychology to mental structure. New York: Cambridge University Press", "type" : "book" }, "uris" : [ "http://www.mendeley.com/documents/?uuid=72254ae0-5b5a-4f5d-85f3-6f98300596c9" ] } ], "mendeley" : { "formattedCitation" : "(McCarthy and Warrington, 1988; Shallice, 1988)", "plainTextFormattedCitation" : "(McCarthy and Warrington, 1988; Shallice, 1988)", "previouslyFormattedCitation" : "(McCarthy and Warrington, 1988; Shallice, 1988)" }, "properties" : {  }, "schema" : "https://github.com/citation-style-language/schema/raw/master/csl-citation.json" }</w:instrText>
      </w:r>
      <w:r w:rsidRPr="007C17A6">
        <w:rPr>
          <w:rFonts w:ascii="Times New Roman" w:hAnsi="Times New Roman" w:cs="Times New Roman"/>
        </w:rPr>
        <w:fldChar w:fldCharType="separate"/>
      </w:r>
      <w:bookmarkStart w:id="16" w:name="__Fieldmark__170_1687356023"/>
      <w:bookmarkStart w:id="17" w:name="__Fieldmark__456_582625014"/>
      <w:bookmarkStart w:id="18" w:name="__Fieldmark__215_531023477"/>
      <w:bookmarkStart w:id="19" w:name="__Fieldmark__182_2073936654"/>
      <w:r w:rsidR="00C00A10" w:rsidRPr="007C17A6">
        <w:rPr>
          <w:rFonts w:ascii="Times New Roman" w:hAnsi="Times New Roman" w:cs="Times New Roman"/>
          <w:noProof/>
          <w:color w:val="000000" w:themeColor="text1"/>
          <w:sz w:val="24"/>
          <w:szCs w:val="24"/>
          <w:lang w:val="en-GB"/>
        </w:rPr>
        <w:t>(McCarthy and Warrington, 1988; Shallice, 1988)</w:t>
      </w:r>
      <w:r w:rsidRPr="007C17A6">
        <w:rPr>
          <w:rFonts w:ascii="Times New Roman" w:hAnsi="Times New Roman" w:cs="Times New Roman"/>
        </w:rPr>
        <w:fldChar w:fldCharType="end"/>
      </w:r>
      <w:bookmarkEnd w:id="16"/>
      <w:bookmarkEnd w:id="17"/>
      <w:bookmarkEnd w:id="18"/>
      <w:bookmarkEnd w:id="19"/>
      <w:r w:rsidRPr="007C17A6">
        <w:rPr>
          <w:rFonts w:ascii="Times New Roman" w:hAnsi="Times New Roman" w:cs="Times New Roman"/>
          <w:color w:val="000000" w:themeColor="text1"/>
          <w:sz w:val="24"/>
          <w:szCs w:val="24"/>
          <w:lang w:val="en-GB"/>
        </w:rPr>
        <w:t xml:space="preserve">: modality-specific cortices, including visual, auditory, olfactory, gustatory, somatosensory and motor regions, have been shown </w:t>
      </w:r>
      <w:r w:rsidRPr="007C17A6">
        <w:rPr>
          <w:rFonts w:ascii="Times New Roman" w:hAnsi="Times New Roman" w:cs="Times New Roman"/>
          <w:noProof/>
          <w:color w:val="000000" w:themeColor="text1"/>
          <w:sz w:val="24"/>
          <w:szCs w:val="24"/>
          <w:lang w:val="en-GB"/>
        </w:rPr>
        <w:t>to differentially activate when specific semantic types are processed</w:t>
      </w:r>
      <w:r w:rsidRPr="007C17A6">
        <w:rPr>
          <w:rFonts w:ascii="Times New Roman" w:hAnsi="Times New Roman" w:cs="Times New Roman"/>
          <w:color w:val="000000" w:themeColor="text1"/>
          <w:sz w:val="24"/>
          <w:szCs w:val="24"/>
          <w:lang w:val="en-GB"/>
        </w:rPr>
        <w:t xml:space="preserve">, for example animal vs. tool nouns or verbs typically used to speak about different types of actions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"PMID" : "14741110", "author" : [ { "dropping-particle" : "", "family" : "Hauk", "given" : "O", "non-dropping-particle" : "", "parse-names" : false, "suffix" : "" }, { "dropping-particle" : "", "family" : "Johnsrude", "given" : "I", "non-dropping-particle" : "", "parse-names" : false, "suffix" : "" }, { "dropping-particle" : "", "family" : "Pulverm\u00fcller", "given" : "F", "non-dropping-particle" : "", "parse-names" : false, "suffix" : "" } ], "container-title" : "Neuron", "id" : "ITEM-1", "issued" : { "date-parts" : [ [ "2004" ] ] }, "page" : "301-307", "title" : "Somatotopic representations of action words in human motor and premotor cortex", "type" : "article-journal", "volume" : "41" }, "uris" : [ "http://www.mendeley.com/documents/?uuid=b32eb5aa-bb6c-4918-b1ff-1a904370c943" ] }, { "id" : "ITEM-2", "itemData" : { "DOI" : "10.1038/13217", "ISBN" : "10976256", "ISSN" : "1097-6256", "PMID" : "10491613", "abstract" : "The cognitive and neural mechanisms underlying category-specific knowledge remain controversial. Here we report that, across multiple tasks (viewing, delayed match to sample, naming), pictures of animals and tools were associated with highly consistent, category-related patterns of activation in ventral (fusiform gyrus) and lateral (superior and middle temporal gyri) regions of the posterior temporal lobes. In addition, similar patterns of category-related activity occurred when subjects read the names of, and answered questions about, animals and tools. These findings suggest that semantic object information is represented in distributed networks that include sites for storing information about specific object attributes such as form (ventral temporal cortex) and motion (lateral temporal cortex). [ABSTRACT FROM AUTHOR] Copyright of Nature Neuroscience is the property of Nature Publishing Group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"Chao", "given" : "Linda L", "non-dropping-particle" : "", "parse-names" : false, "suffix" : "" }, { "dropping-particle" : "V", "family" : "Haxby", "given" : "James", "non-dropping-particle" : "", "parse-names" : false, "suffix" : "" }, { "dropping-particle" : "", "family" : "Martin", "given" : "Alex", "non-dropping-particle" : "", "parse-names" : false, "suffix" : "" } ], "container-title" : "Nature Neuroscience", "id" : "ITEM-2", "issue" : "10", "issued" : { "date-parts" : [ [ "1999" ] ] }, "page" : "913", "title" : "Attribute-based neural substrates in temporal cortex for perceiving and knowing about objects", "type" : "article-journal", "volume" : "2" }, "uris" : [ "http://www.mendeley.com/documents/?uuid=c4f70a18-55d2-4425-b199-c841a0c58513" ] }, { "id" : "ITEM-3", "itemData" : { "DOI" : "10.1093/cercor/bhw026", "ISSN" : "14602199", "abstract" : "The recognition of action-related sounds and words activates motor regions, re\ufb02ecting the semantic grounding of these symbols in action information; in addition, motor cortex exerts causal in\ufb02uences on sound perception and language comprehension. However, proponents of classic symbolic theories still dispute the role of modality-preferential systems such as the motor cortex in the semantic processing of meaningful stimuli. To clarify whether the motor system carries semantic processes, we investigated neurophysiological indexes of semantic relationships between action-related sounds and words. Event-related potentials revealed that action-related words produced signi\ufb01cantly larger stimulus-evoked (Mismatch Negativity-like) and predictive brain responses (Readiness Potentials) when presented in body-part-incongruent sound contexts (e.g., \u201ckiss\u201d in footstep sound context; \u201ckick\u201d in whistle context) than in body-part-congruent contexts, a pattern reminiscent of neurophysiological correlates of semantic priming. Cortical generators of the semantic relatedness effect were localized in areas traditionally associated with semantic memory, including left inferior frontal cortex and temporal pole, and, crucially, in motor areas, where body-part congruency of action sound\u2013word relationships was indexed by a somatotopic pattern of activation. As our results show neurophysiological manifestations of action-semantic priming in the motor cortex, they prove semantic processing in the motor system and thus in a modality-preferential system of the human brain.", "author" : [ { "dropping-particle" : "", "family" : "Grisoni", "given" : "Luigi", "non-dropping-particle" : "", "parse-names" : false, "suffix" : "" }, { "dropping-particle" : "", "family" : "Dreyer", "given" : "Felix R.", "non-dropping-particle" : "", "parse-names" : false, "suffix" : "" }, { "dropping-particle" : "", "family" : "Pulverm\u00fcller", "given" : "Friedemann", "non-dropping-particle" : "", "parse-names" : false, "suffix" : "" } ], "container-title" : "Cerebral Cortex", "id" : "ITEM-3", "issue" : "5", "issued" : { "date-parts" : [ [ "2016" ] ] }, "page" : "2353-2366", "title" : "Somatotopic Semantic Priming and Prediction in the Motor System", "type" : "article-journal", "volume" : "26" }, "uris" : [ "http://www.mendeley.com/documents/?uuid=b3732f39-6e5c-41e7-9004-d80ddfbd5a94" ] }, { "id" : "ITEM-4", "itemData" : { "DOI" : "10.1038/380499a0", "ISBN" : "0028-0836", "ISSN" : "0028-0836", "PMID" : "8606767", "abstract" : "Two parallel studies using positron emission tomography, one conducted in neurological patients with brain lesions, the other in normal individuals, indicate that the normal process of retrieving words that denote concrete entities depends in part on multiple regions of the left cerebral hemisphere, located outside the classic language areas. Moreover, anatomically separable regions tends to process words for distinct kinds of items.", "author" : [ { "dropping-particle" : "", "family" : "Damasio", "given" : "Hanna", "non-dropping-particle" : "", "parse-names" : false, "suffix" : "" }, { "dropping-particle" : "", "family" : "Grabowski", "given" : "Thomas J", "non-dropping-particle" : "", "parse-names" : false, "suffix" : "" }, { "dropping-particle" : "", "family" : "Tranel", "given" : "Daniel", "non-dropping-particle" : "", "parse-names" : false, "suffix" : "" }, { "dropping-particle" : "", "family" : "Hichwa", "given" : "Richard D", "non-dropping-particle" : "", "parse-names" : false, "suffix" : "" }, { "dropping-particle" : "", "family" : "Damasio", "given" : "Antonio R", "non-dropping-particle" : "", "parse-names" : false, "suffix" : "" } ], "container-title" : "Nature", "id" : "ITEM-4", "issue" : "6574", "issued" : { "date-parts" : [ [ "1996" ] ] }, "page" : "499-505", "title" : "A neural basis for lexical retrieval", "type" : "article-journal", "volume" : "380" }, "uris" : [ "http://www.mendeley.com/documents/?uuid=c36ff67e-192f-4566-b492-8842b90d946e" ] }, { "id" : "ITEM-5", "itemData" : { "DOI" : "10.1016/j.cortex.2010.11.001", "ISBN" : "0010-9452", "ISSN" : "00109452", "PMID" : "21159333", "abstract" : "To further investigate the neural substrates of lexical and conceptual knowledge of actions, we administered a battery of six tasks to 226 brain-damaged patients with widely distributed lesions in the left and right cerebral hemispheres. The tasks probed lexical and conceptual knowledge of actions in a variety of verbal and non-verbal ways, including naming, word-picture matching, attribute judgments involving both words and pictures, and associative comparisons involving both words and pictures. Of the 226 patients who were studied, 61 failed one or more of the six tasks, with four patients being impaired on the entire battery, and varied numbers of patients being impaired on varied combinations of tasks. Overall, the 61 patients manifested a complex array of associations and dissociations across the six tasks. The lesion sites of 147 of the 226 patients were also investigated, using formal methods for lesion-deficit statistical mapping and power analysis of lesion overlap maps. Significant effects for all six tasks were found in the following left-hemisphere regions: the inferior frontal gyrus; the ventral precentral gyrus, extending superiorly into what are likely to be hand-related primary motor and premotor areas; and the anterior insula. In addition, significant effects for 4-5 tasks were found in not only the regions just mentioned, but also in several other left-hemisphere areas: the ventral postcentral gyrus; the supramarginal gyrus; and the posterior middle temporal gyrus. These results converge with previous research on the neural underpinnings of action words and concepts. However, the current study goes considerably beyond most previous investigations by providing extensive behavioral and lesion data for an unusually large and diverse sample of brain-damaged patients, and by incorporating multiple measures of verb comprehension. Regarding theoretical implications, the study provides new support for the Embodied Cognition Framework, which maintains that conceptual knowledge is grounded in sensorimotor systems. ?? 2010 Elsevier Srl.", "author" : [ { "dropping-particle" : "", "family" : "Kemmerer", "given" : "David", "non-dropping-particle" : "", "parse-names" : false, "suffix" : "" }, { "dropping-particle" : "", "family" : "Rudrauf", "given" : "David", "non-dropping-particle" : "", "parse-names" : false, "suffix" : "" }, { "dropping-particle" : "", "family" : "Manzel", "given" : "Ken", "non-dropping-particle" : "", "parse-names" : false, "suffix" : "" }, { "dropping-particle" : "", "family" : "Tranel", "given" : "Daniel", "non-dropping-particle" : "", "parse-names" : false, "suffix" : "" } ], "container-title" : "Cortex", "edition" : "2010/12/17", "id" : "ITEM-5", "issue" : "7", "issued" : { "date-parts" : [ [ "2012" ] ] }, "language" : "eng", "note" : "Kemmerer, David\nRudrauf, David\nManzel, Ken\nTranel, Daniel\nP01 NS019632/NS/NINDS NIH HHS/\nP01 NS19632/NS/NINDS NIH HHS/\nR01 DA022549/DA/NIDA NIH HHS/\nItaly\nCortex. 2012 Jul;48(7):826-48. doi: 10.1016/j.cortex.2010.11.001. Epub 2010 Nov 18.", "page" : "826-848", "title" : "Behavioral patterns and lesion sites associated with impaired processing of lexical and conceptual knowledge of actions", "type" : "article-journal", "volume" : "48" }, "uris" : [ "http://www.mendeley.com/documents/?uuid=96b189e6-623b-4ac9-9816-ca039602039e" ] }, { "id" : "ITEM-6", "itemData" : { "DOI" : "https://doi.org/10.1016/j.neuropsychologia.2017.01.025", "ISSN" : "0028-3932", "abstract" : "Abstract Among various questions pertinent to grounding human cognitive functions in a neurobiological substrate, the association between language and motor brain structures is a particularly debated one in neuroscience and psychology. While many studies support a broadly distributed model of language and semantics grounded, among other things, in the general modality-specific systems, theories disagree as to whether motor and sensory cortex activity observed during language processing is functional or epiphenomenal. Here, we assessed the role of motor areas in linguistic processing by investigating the responses of 28 healthy volunteers to different word types in semantic and lexical decision tasks, following repetitive transcranial magnetic stimulation (rTMS) of primary motor cortex. We found that early rTMS (delivered within 200 ms of word onset) produces a left-lateralised and meaning-specific change in reaction speed, slowing down behavioural responses to action-related words, and facilitating abstract words \u2013 an effect present only during semantic, but not lexical, decision. We interpret these data in light of action-perception theory of language, bolstering the claim that motor cortical areas play a functional role in language comprehension.", "author" : [ { "dropping-particle" : "", "family" : "Vukovic", "given" : "Nikola", "non-dropping-particle" : "", "parse-names" : false, "suffix" : "" }, { "dropping-particle" : "", "family" : "Feurra", "given" : "Matteo", "non-dropping-particle" : "", "parse-names" : false, "suffix</w:instrText>
      </w:r>
      <w:r w:rsidR="007F4106" w:rsidRPr="007C17A6">
        <w:rPr>
          <w:rFonts w:ascii="Times New Roman" w:hAnsi="Times New Roman" w:cs="Times New Roman"/>
          <w:lang w:val="it-IT"/>
        </w:rPr>
        <w:instrText>" : "" }, { "dropping-particle" : "", "family" : "Shpektor", "given" : "Anna", "non-dropping-particle" : "", "parse-names" : false, "suffix" : "" }, { "dropping-particle" : "", "family" : "Myachykov", "given" : "Andriy", "non-dropping-particle" : "", "parse-names" : false, "suffix" : "" }, { "dropping-particle" : "", "family" : "Shtyrov", "given" : "Yury", "non-dropping-particle" : "", "parse-names" : false, "suffix" : "" } ], "container-title" : "Neuropsychologia", "id" : "ITEM-6", "issued" : { "date-parts" : [ [ "2017", "2" ] ] }, "page" : "222-229", "title" : "Primary motor cortex functionally contributes to language comprehension: An online rTMS study", "type" : "article-journal", "volume" : "96" }, "uris" : [ "http://www.mendeley.com/documents/?uuid=ee4a7a54-e81e-4be1-98ca-391e88a99366", "http://www.mendeley.com/documents/?uuid=0c0a1fb2-5aa7-48e4-b30c-1507e8c97a93" ] } ], "mendeley" : { "formattedCitation" : "(Chao et al., 1999; Damasio et al., 1996; Grisoni et al., 2016; Hauk et al., 2004; Kemmerer et al., 2012; Vukovic et al., 2017)", "plainTextFormattedCitation" : "(Chao et al., 1999; Damasio et al., 1996; Grisoni et al., 2016; Hauk et al., 2004; Kemmerer et al., 2012; Vukovic et al., 2017)", "previouslyFormattedCitation" : "(Chao et al., 1999; Damasio et al., 1996; Grisoni et al., 2016; Hauk et al., 2004; Kemmerer et al., 2012; Vukovic et al., 2017)" }, "properties" : {  }, "schema" : "https://github.com/citation-style-language/schema/raw/master/csl-citation.json" }</w:instrText>
      </w:r>
      <w:r w:rsidRPr="007C17A6">
        <w:rPr>
          <w:rFonts w:ascii="Times New Roman" w:hAnsi="Times New Roman" w:cs="Times New Roman"/>
        </w:rPr>
        <w:fldChar w:fldCharType="separate"/>
      </w:r>
      <w:bookmarkStart w:id="20" w:name="__Fieldmark__183_1687356023"/>
      <w:bookmarkStart w:id="21" w:name="__Fieldmark__204_2073936654"/>
      <w:bookmarkStart w:id="22" w:name="__Fieldmark__229_531023477"/>
      <w:bookmarkStart w:id="23" w:name="__Fieldmark__470_582625014"/>
      <w:r w:rsidR="00A81FE9" w:rsidRPr="007C17A6">
        <w:rPr>
          <w:rFonts w:ascii="Times New Roman" w:hAnsi="Times New Roman" w:cs="Times New Roman"/>
          <w:noProof/>
          <w:color w:val="000000" w:themeColor="text1"/>
          <w:sz w:val="24"/>
          <w:szCs w:val="24"/>
          <w:lang w:val="it-IT"/>
        </w:rPr>
        <w:t>(Chao et al., 1999; Damasio et al., 1996; Grisoni et al., 2016; Hauk et al., 2004; Kemmerer et al., 2012; Vukovic et al., 2017)</w:t>
      </w:r>
      <w:r w:rsidRPr="007C17A6">
        <w:rPr>
          <w:rFonts w:ascii="Times New Roman" w:hAnsi="Times New Roman" w:cs="Times New Roman"/>
        </w:rPr>
        <w:fldChar w:fldCharType="end"/>
      </w:r>
      <w:bookmarkEnd w:id="20"/>
      <w:bookmarkEnd w:id="21"/>
      <w:bookmarkEnd w:id="22"/>
      <w:bookmarkEnd w:id="23"/>
      <w:r w:rsidRPr="007C17A6">
        <w:rPr>
          <w:rFonts w:ascii="Times New Roman" w:hAnsi="Times New Roman" w:cs="Times New Roman"/>
          <w:color w:val="000000" w:themeColor="text1"/>
          <w:sz w:val="24"/>
          <w:szCs w:val="24"/>
          <w:lang w:val="it-IT"/>
        </w:rPr>
        <w:t xml:space="preserve">. </w:t>
      </w:r>
      <w:r w:rsidRPr="007C17A6">
        <w:rPr>
          <w:rFonts w:ascii="Times New Roman" w:hAnsi="Times New Roman" w:cs="Times New Roman"/>
          <w:color w:val="000000" w:themeColor="text1"/>
          <w:sz w:val="24"/>
          <w:szCs w:val="24"/>
          <w:lang w:val="en-GB"/>
        </w:rPr>
        <w:t xml:space="preserve">Also studies of patients with lesions in modality-specific regions revealed category-specific semantic deficits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"10.1016/S0028-3932(02)00126-4", "ISBN" : "0028-3932 (Print)", "ISSN" : "00283932", "PMID" : "12427565", "abstract" : "A speeded lexical decision task was used to investigate word-category deficits in patients suffering from lesions in the right hemisphere and in neurological controls without cortical lesion. In all patients from one group (n = 12), the right frontal lobe was affected causing a left-sided hemiparesis. In the second group (n = 6), lesions primarily affected areas in the right inferior temporo-occipital lobes. Patients with motor deficits due to lesions in the spinal cord or in the periphery served as neurological controls (n = 9). Processing of three categories of words was investigated: verbs referring to actions (action verbs (acVs)); nouns with strong visual associations (visually-related nouns (viNs)); and nouns with both strong action and visual associations (bimodal nouns (biNs)). Stimulus categories were matched for word length and normalized lexical frequency. Error scores revealed a significant word category by patient group interaction. Patients with lesions in the right frontal lobe showed most severe deficits in processing action verbs, whereas those with lesions in their right temporo-occipital areas showed most severe deficits in processing visually-related nouns. Neurological controls did not show any differences between word categories. The double dissociation of the processing impairments seen in frontal versus temporo-occipital patients demonstrates that specific word-category deficits can arise from lesions in the right non-dominant hemisphere. An account for these results in terms of distributed neuronal systems representing words is offered. \u00a9 2003 Elsevier Science Ltd. All rights reserved.", "author" : [ { "dropping-particle" : "", "family" : "Neininger", "given" : "Bettina", "non-dropping-particle" : "", "parse-names" : false, "suffix" : "" }, { "dropping-particle" : "", "family" : "Pulverm\u00fcller", "given" : "Friedemann", "non-dropping-particle" : "", "parse-names" : false, "suffix" : "" } ], "container-title" : "Neuropsychologia", "id" : "ITEM-1", "issue" : "1", "issued" : { "date-parts" : [ [ "2003" ] ] }, "note" : "0028-3932\nJournal Article", "page" : "53-70", "title" : "Word-category specific deficits after lesions in the right hemisphere", "type" : "article-journal", "volume" : "41" }, "uris" : [ "http://www.mendeley.com/documents/?uuid=90591d95-7841-4463-a2aa-c07273e0b7ff" ] }, { "id" : "ITEM-2", "itemData" : { "DOI" : "10.1016/j.cortex.2010.04.002", "ISBN" : "1973-8102 (Electronic)\\n0010-9452 (Linking)", "ISSN" : "00109452", "PMID" : "20472230", "abstract" : "According to a recent study conducted on patients with posterior cerebral artery (PCA) infarcts (Capitani et al., 2009), a prevalent impairment of fruit and vegetable knowledge might be due to damage of the left fusiform gyrus, whereas the representation of animals might be disrupted by anterior temporal lesions. To check the influence of gender and anatomical factors in a larger number of patients, a review was made of all the single-case studies of patients who satisfied the following criteria: (a) a prevalent or selective defect in the representation of animals or fruit and vegetable knowledge; (b) the presence of detailed anatomical data, allowing to evaluate if there is a clear distinction between lesions provoking a prevalent defect for animals and for fruits and vegetables. Results showed that both similarities and differences exist between patients showing a selective impairment for animals and for fruits and vegetables. Important lesions of the mesial and inferior areas of the temporal lobes are, indeed, often observed in patients with every kind of category-specific semantic disorder for living entities, but aetiological, anatomical and gender-related familiarity factors determine the prevalent impairment of animals or of fruits and vegetables in these patients. A prevalent impairment of fruits and vegetables is usually observed in men showing a lesion in the territory of the left PCA, encroaching upon the occipital and the infero-mesial aspects of the left temporal lobe, whereas a prevalent impairment of animals is often found in women showing a bilateral lesion of the anterior temporal cortices. The anatomical differences are interpreted in terms of the 'sensori-motor model of semantic knowledge', whereas the gender-related asymmetries are considered as due to social roles related familiarity factors. \u00a9 2010 Elsevier Srl.", "author" : [ { "dropping-particle" : "", "family" : "Gainotti", "given" : "Guido", "non-dropping-particle" : "", "parse-names" : false, "suffix" : "" } ], "container-title" : "Cortex", "edition" : "2010/05/18", "id" : "ITEM-2", "issue" : "9", "issued" : { "date-parts" : [ [ "2010" ] ] }, "language" : "eng", "note" : "Gainotti, Guido\nItaly\nCortex. 2010 Oct;46(9):1072-87. doi: 10.1016/j.cortex.2010.04.002. Epub 2010 Apr 22.", "page" : "1072-1087", "title" : "The influence of anatomical locus of lesion and of gender-related familiarity factors in category-specific semantic disorders for animals, fruits and vegetables: A review of single-case studies", "type" : "article-journal", "volume" : "46" }, "uris" : [ "http://www.mendeley.com/documents/?uuid=43b1cf93-ad7d-4418-a3bf-00d81c815ed7" ] }, { "id" : "ITEM-3", "itemData" : { "DOI" : "10.3389/fpsyg.2015.01661", "ISBN" : "doi:10.3389/fpsyg.2015.01661", "ISSN" : "16641078", "PMID" : "26617535", "abstract" : "Neuroimaging and neuropsychological experiments suggest that modality-preferential cortices, including motor- and somatosensory areas, contribute to the semantic processing of action related concrete words. Still, a possible role of sensorimotor areas in processing abstract meaning remains under debate. Recent fMRI studies indicate an involvement of the left sensorimotor cortex in the processing of abstract-emotional words (e.g., \"love\") which resembles activation patterns seen for action words. But are the activated areas indeed necessary for processing action-related and abstract words? The current study now investigates word processing in two patients suffering from focal brain lesion in the left frontocentral motor system. A speeded Lexical Decision Task on meticulously matched word groups showed that the recognition of nouns from different semantic categories - related to food, animals, tools, and abstract-emotional concepts - was differentially affected. Whereas patient HS with a lesion in dorsolateral central sensorimotor systems next to the hand area showed a category-specific deficit in recognizing tool words, patient CA suffering from lesion centered in the left supplementary motor area was primarily impaired in abstract-emotional word processing. These results point to a causal role of the motor cortex in the semantic processing of both action-related object concepts and abstract-emotional concepts and therefore suggest that the motor areas previously found active in action-related and abstract word processing can serve a meaning-specific necessary role in word recognition. The category-specific nature of the observed dissociations is difficult to reconcile with the idea that sensorimotor systems are somehow peripheral or 'epiphenomenal' to meaning and concept processing. Rather, our results are consistent with the claim that cognition is grounded in action and perception and based on distributed action perception circuits reaching into modality-preferential cortex.", "author" : [ { "dropping-particle" : "", "family" : "Dreyer", "given" : "Felix R.", "non-dropping-particle" : "", "parse-names" : false, "suffix" : "" }, { "dropping-particle" : "", "family" : "Frey", "given" : "Dietmar", "non-dropping-particle" : "", "parse-names" : false, "suffix" : "" }, { "dropping-particle" : "", "family" : "Arana", "given" : "Sophie", "non-dropping-particle" : "", "parse-names" : false, "suffix" : "" }, { "dropping-particle" : "von", "family" : "Saldern", "given" : "Sarah", "non-dropping-particle" : "", "parse-names" : false, "suffix" : "" }, { "dropping-particle" : "", "family" : "Picht", "given" : "Thomas", "non-dropping-particle" : "", "parse-names" : false, "suffix" : "" }, { "dropping-particle" : "", "family" : "Vajkoczy", "given" : "Peter", "non-dropping-particle" : "", "parse-names" : false, "suffix" : "" }, { "dropping-particle" : "", "family" : "Pulverm\u00fcller", "given" : "Friedemann", "non-dropping-particle" : "", "parse-names" : false, "suffix" : "" } ], "container-title" : "Frontiers in Psychology", "id" : "ITEM-3", "issue" : "NOV", "issued" : { "date-parts" : [ [ "2015" ] ] }, "page" : "242", "title" : "Is the motor system necessary for processing action and abstract emotion words? Evidence from focal brain lesions", "type" : "article-journal", "volume" : "6" }, "uris" : [ "http://www.mendeley.com/documents/?uuid=19f45615-6518-433c-b593-9a35a9b6ec37" ] }, { "id" : "ITEM-4", "itemData" : { "DOI" : "10.1016/j.cortex.2012.02.002", "ISBN" : "1973-8102 (Electronic)\\n0010-9452 (Linking)", "ISSN" : "00109452", "PMID" : "22405961", "abstract" : "Conceptual knowledge is classically supposed to be abstract and represented in an amodal unitary system, distinct from the sensory and motor brain systems. A more recent embodiment view of conceptual knowledge, however, proposes that concepts are grounded in distributed modality-specific brain areas which typically process sensory or action-related object information. Recent neuroimaging evidence suggested the significance of left auditory association cortex encompassing posterior superior and middle temporal gyrus in coding conceptual sound features of everyday objects. However, a causal role of this region in processing conceptual sound information has yet to be established. Here we had the unique chance to investigate a patient, JR, with a focal lesion in left posterior superior and middle temporal gyrus. To test the necessity of this region in conceptual and perceptual processing of sound information we administered four different experimental tasks to JR: Visual word recognition, category fluency, sound recognition and voice classification. Compared with a matched control group, patient JR was consistently impaired in conceptual processing of sound-related everyday objects (e.g., \" bell\" ), while performance for non-sound-related everyday objects (e.g., \" armchair\" ), animals, whether they typically produce sounds (e.g., \" frog\" ) or not (e.g., \" tortoise\" ), and musical instruments (e.g., \" guitar\" ) was intact. An analogous deficit pattern in JR was also obtained for perceptual recognition of the corresponding sounds. Hence, damage to left auditory association cortex specifically impairs perceptual and conceptual processing of sounds from everyday objects. In support of modality-specific theories, these findings strongly evidence the necessity of auditory association cortex in coding sound-related conceptual information. ?? 2012 Elsevier Ltd.", "author" : [ { "dropping-particle" : "", "family" : "Trumpp", "given" : "Natalie M.", "non-dropping-particle" : "", "parse-names" : false, "suffix" : "" }, { "dropping-particle" : "", "family" : "Kliese", "given" : "Daniel", "non-dropping-particle" : "", "parse-names" : false, "suffix" : "" }, { "dropping-particle" : "", "family" : "Hoenig", "given" : "Klaus", "non-dropping-particle" : "", "parse-names" : false, "suffix" : "" }, { "dropping-particle" : "", "family" : "Haarmeier", "given" : "Thomas", "non-dropping-particle" : "", "parse-names" : false, "suffix" : "" }, { "dropping-particle" : "", "family" : "Kiefer", "given" : "Markus", "non-dropping-particle" : "", "parse-names" : false, "suffix" : "" } ], "container-title" : "Cortex", "edition" : "2012/03/13", "id" : "ITEM-4", "issue" : "2", "issued" : { "date-parts" : [ [ "2013" ] ] }, "language" : "eng", "note" : "Trumpp, Natalie M\nKliese, Daniel\nHoenig, Klaus\nHaarmeier, Thomas\nKiefer, Markus\nItaly\nCortex. 2013 Feb;49(2):474-86. doi: 10.1016/j.cortex.2012.02.002. Epub 2012 Feb 9.", "page" : "474-486", "title" : "Losing the sound of concepts: Damage to auditory association cortex impairs the processing of sound-related concepts", "type" : "article-journal", "volume" : "49" }, "uris" : [ "http://www.mendeley.com/documents/?uuid=f0b76aa3-b001-454c-b869-230dc3d92aa0" ] }, { "id" : "ITEM-5", "itemData" : { "DOI" : "10.1093/brain/106.4.859", "ISBN" : "0006-8950 (Print)\\n0006-8950 (Linking)", "ISSN" : "00068950", "PMID" : "6652466", "abstract" : "In this study we report our investigations of the residual auditory-verbal comprehension skills of a global dysphasic who had sustained a major left hemisphere infarction. Clinically V.E.R.'s capacity for propositional speech and her comprehension of the simplest verbal instructions appeared to be absent. Nevertheless using matching-to-sample techniques it was possible to demonstrate the selective preservation (foods, animals and flowers) and the selective impairment (objects) of specific semantic categories. Furthermore there was evidence from analyses of response consistency and presentation rate effects that her deficit was primarily one of access to the full semantic representation of words. We suggest that this access impairment arose because the system had become refractory, such refractoriness being category specific.", "author" : [ { "dropping-particle" : "", "family" : "Warrington", "given" : "Elizabeth K.", "non-dropping-particle" : "", "parse-names" : false, "suffix" : "" }, { "dropping-particle" : "", "family" : "Mccarthy", "given" : "Rosaleen", "non-dropping-particle" : "", "parse-names" : false, "suffix" : "" } ], "container-title" : "Brain", "id" : "ITEM-5", "issue" : "4", "issued" : { "date-parts" : [ [ "1983" ] ] }, "note" : "patient V.E.R. with major left hemisphereic infarction (frontoparietal) able to comprehend (matching) food, animal and flower names while being unable to understand object names (names of manmade objects).\nReprint Status: In File", "page" : "859-878", "title" : "Category specific access dysphasia", "type" : "article-journal", "volume" : "106" }, "uris" : [ "http://www.mendeley.com/documents/?uuid=5c0693a0-ece6-49ea-9fc7-c0596253f878" ] }, { "id" : "ITEM-6", "itemData" : { "DOI" : "10.1038/380499a0", "ISBN" : "0028-0836", "ISSN" : "0028-0836", "PMID" : "8606767", "abstract" : "Two parallel studies using positron emission tomography, one conducted in neurological patients with brain lesions, the other in normal individuals, indicate that the normal process of retrieving words that denote concrete entities depends in part on multiple regions of the left cerebral hemisphere, located outside the classic language areas. Moreover, anatomically separable regions tends to process words for distinct kinds of items.", "author" : [ { "dropping-particle" : "", "family" : "Damasio", "given" : "Hanna", "non-dropping-particle" : "", "parse-names" : false, "suffix" : "" }, { "dropping-particle" : "", "family" : "Grabowski", "given" : "Thomas J", "non-dropping-particle" : "", "parse-names" : false, "suffix" : "" }, { "dropping-particle" : "", "family" : "Tranel", "given" : "Daniel", "non-dropping-particle" : "", "parse-names" : false, "suffix" : "" }, { "dropping-particle" : "", "family" : "Hichwa", "given" : "Richard D", "non-dropping-particle" : "", "parse-names" : false, "suffix" : "" }, { "dropping-particle" : "", "family" : "Damasio", "given" : "Antonio R", "non-dropping-particle" : "", "parse-names" : false, "suffix" : "" } ], "container-title" : "Nature", "id" : "ITEM-6", "issue" : "6574", "issued" : { "date-parts" : [ [ "1996" ] ] }, "page" : "499-505", "title" : "A neural basis for lexical retrieval", "type" : "article-journal", "volume" : "380" }, "uris" : [ "http://www.mendeley.com/documents/?uuid=c36ff67e-192f-4566-b492-8842b90d946e" ] } ], "mendeley" : { "formattedCitation" : "(Damasio et al., 1996; Dreyer et al., 2015; Gainotti, 2010; Neininger and Pulverm\u00fcller, 2003; Trumpp et al., 2013; Warrington and Mccarthy, 1983)", "plainTextFormattedCitation" : "(Damasio et al., 1996; Dreyer et al., 2015; Gainotti, 2010; Neininger and Pulverm\u00fcller, 2003; Trumpp et al., 2013; Warrington and Mccarthy, 1983)", "previouslyFormattedCitation" : "(Damasio et al., 1996; Dreyer et al., 2015; Gainotti, 2010; Neininger and Pulverm\u00fcller, 2003; Trumpp et al., 2013; Warrington and Mccarthy, 1983)" }, "properties" : {  }, "schema" : "https://github.com/citation-style-language/schema/raw/master/csl-citation.json" }</w:instrText>
      </w:r>
      <w:r w:rsidRPr="007C17A6">
        <w:rPr>
          <w:rFonts w:ascii="Times New Roman" w:hAnsi="Times New Roman" w:cs="Times New Roman"/>
        </w:rPr>
        <w:fldChar w:fldCharType="separate"/>
      </w:r>
      <w:bookmarkStart w:id="24" w:name="__Fieldmark__196_1687356023"/>
      <w:bookmarkStart w:id="25" w:name="__Fieldmark__479_582625014"/>
      <w:bookmarkStart w:id="26" w:name="__Fieldmark__239_531023477"/>
      <w:bookmarkStart w:id="27" w:name="__Fieldmark__219_2073936654"/>
      <w:r w:rsidR="00A81FE9" w:rsidRPr="007C17A6">
        <w:rPr>
          <w:rFonts w:ascii="Times New Roman" w:hAnsi="Times New Roman" w:cs="Times New Roman"/>
          <w:noProof/>
          <w:color w:val="000000" w:themeColor="text1"/>
          <w:sz w:val="24"/>
          <w:szCs w:val="24"/>
          <w:lang w:val="en-GB"/>
        </w:rPr>
        <w:t>(Damasio et al., 1996; Dreyer et al., 2015; Gainotti, 2010; Neininger and Pulvermüller, 2003; Trumpp et al., 2013; Warrington and Mccarthy, 1983)</w:t>
      </w:r>
      <w:r w:rsidRPr="007C17A6">
        <w:rPr>
          <w:rFonts w:ascii="Times New Roman" w:hAnsi="Times New Roman" w:cs="Times New Roman"/>
        </w:rPr>
        <w:fldChar w:fldCharType="end"/>
      </w:r>
      <w:bookmarkEnd w:id="24"/>
      <w:bookmarkEnd w:id="25"/>
      <w:bookmarkEnd w:id="26"/>
      <w:bookmarkEnd w:id="27"/>
      <w:r w:rsidRPr="007C17A6">
        <w:rPr>
          <w:rFonts w:ascii="Times New Roman" w:hAnsi="Times New Roman" w:cs="Times New Roman"/>
          <w:color w:val="000000" w:themeColor="text1"/>
          <w:sz w:val="24"/>
          <w:szCs w:val="24"/>
          <w:lang w:val="en-GB"/>
        </w:rPr>
        <w:t xml:space="preserve"> which </w:t>
      </w:r>
      <w:proofErr w:type="spellStart"/>
      <w:r w:rsidRPr="007C17A6">
        <w:rPr>
          <w:rFonts w:ascii="Times New Roman" w:hAnsi="Times New Roman" w:cs="Times New Roman"/>
          <w:color w:val="000000" w:themeColor="text1"/>
          <w:sz w:val="24"/>
          <w:szCs w:val="24"/>
          <w:lang w:val="en-GB"/>
        </w:rPr>
        <w:t>can not</w:t>
      </w:r>
      <w:proofErr w:type="spellEnd"/>
      <w:r w:rsidRPr="007C17A6">
        <w:rPr>
          <w:rFonts w:ascii="Times New Roman" w:hAnsi="Times New Roman" w:cs="Times New Roman"/>
          <w:color w:val="000000" w:themeColor="text1"/>
          <w:sz w:val="24"/>
          <w:szCs w:val="24"/>
          <w:lang w:val="en-GB"/>
        </w:rPr>
        <w:t xml:space="preserve"> be explained by symbolic systems accounts presuming category-general semantic hubs. Likewise, these findings challenge proposals that see the semantic processing role of sensorimotor areas </w:t>
      </w:r>
      <w:r w:rsidR="00BB7A4A" w:rsidRPr="007C17A6">
        <w:rPr>
          <w:rFonts w:ascii="Times New Roman" w:hAnsi="Times New Roman" w:cs="Times New Roman"/>
          <w:color w:val="000000" w:themeColor="text1"/>
          <w:sz w:val="24"/>
          <w:szCs w:val="24"/>
          <w:lang w:val="en-GB"/>
        </w:rPr>
        <w:t xml:space="preserve">as optional, </w:t>
      </w:r>
      <w:r w:rsidR="00BB7A4A" w:rsidRPr="007C17A6">
        <w:rPr>
          <w:rFonts w:ascii="Times New Roman" w:hAnsi="Times New Roman" w:cs="Times New Roman"/>
          <w:sz w:val="24"/>
          <w:szCs w:val="24"/>
          <w:lang w:val="en-GB"/>
        </w:rPr>
        <w:t xml:space="preserve">ancillary </w:t>
      </w:r>
      <w:r w:rsidR="00BB7A4A" w:rsidRPr="007C17A6">
        <w:rPr>
          <w:rFonts w:ascii="Times New Roman" w:hAnsi="Times New Roman" w:cs="Times New Roman"/>
          <w:color w:val="000000" w:themeColor="text1"/>
          <w:sz w:val="24"/>
          <w:szCs w:val="24"/>
          <w:lang w:val="en-GB"/>
        </w:rPr>
        <w:t>or epiphenom</w:t>
      </w:r>
      <w:r w:rsidR="00422A67" w:rsidRPr="007C17A6">
        <w:rPr>
          <w:rFonts w:ascii="Times New Roman" w:hAnsi="Times New Roman" w:cs="Times New Roman"/>
          <w:color w:val="000000" w:themeColor="text1"/>
          <w:sz w:val="24"/>
          <w:szCs w:val="24"/>
          <w:lang w:val="en-GB"/>
        </w:rPr>
        <w:t xml:space="preserve">enal and deny them </w:t>
      </w:r>
      <w:r w:rsidR="00422A67" w:rsidRPr="007C17A6">
        <w:rPr>
          <w:rFonts w:ascii="Times New Roman" w:hAnsi="Times New Roman" w:cs="Times New Roman"/>
          <w:noProof/>
          <w:color w:val="000000" w:themeColor="text1"/>
          <w:sz w:val="24"/>
          <w:szCs w:val="24"/>
          <w:lang w:val="en-GB"/>
        </w:rPr>
        <w:t xml:space="preserve">a </w:t>
      </w:r>
      <w:r w:rsidRPr="007C17A6">
        <w:rPr>
          <w:rFonts w:ascii="Times New Roman" w:hAnsi="Times New Roman" w:cs="Times New Roman"/>
          <w:noProof/>
          <w:color w:val="000000" w:themeColor="text1"/>
          <w:sz w:val="24"/>
          <w:szCs w:val="24"/>
          <w:lang w:val="en-GB"/>
        </w:rPr>
        <w:t>genuine</w:t>
      </w:r>
      <w:r w:rsidRPr="007C17A6">
        <w:rPr>
          <w:rFonts w:ascii="Times New Roman" w:hAnsi="Times New Roman" w:cs="Times New Roman"/>
          <w:color w:val="000000" w:themeColor="text1"/>
          <w:sz w:val="24"/>
          <w:szCs w:val="24"/>
          <w:lang w:val="en-GB"/>
        </w:rPr>
        <w:t xml:space="preserve"> semantic conceptual function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"ISSN" : "0010-0277", "author" : [ { "dropping-particle" : "", "family" : "Machery", "given" : "Edouard", "non-dropping-particle" : "", "parse-names" : false, "suffix" : "" } ], "container-title" : "Cognition", "id" : "ITEM-1", "issue" : "1", "issued" : { "date-parts" : [ [ "2007" ] ] }, "page" : "19-46", "publisher" : "Elsevier", "title" : "Concept empiricism: A methodological critique", "type" : "article-journal", "volume" : "104" }, "uris" : [ "http://www.mendeley.com/documents/?uuid=578f6b18-e368-4dc9-9f53-294bf515d0a3" ] }, { "id" : "ITEM-2", "itemData" : { "DOI" : "10.1016/j.jphysparis.2008.03.004", "ISBN" : "0928-4257 (Print)\\r0928-4257 (Linking)", "ISSN" : "09284257", "PMID" : "18448316", "abstract" : "Many studies have demonstrated that the sensory and motor systems are activated during conceptual processing. Such results have been interpreted as indicating that concepts, and important aspects of cognition more broadly, are embodied. That conclusion does not follow from the empirical evidence. The reason why is that the empirical evidence can equally be accommodated by a 'disembodied' view of conceptual representation that makes explicit assumptions about spreading activation between the conceptual and sensory and motor systems. At the same time, the strong form of the embodied cognition hypothesis is at variance with currently available neuropsychological evidence. We suggest a middle ground between the embodied and disembodied cognition hypotheses - grounding by interaction. This hypothesis combines the view that concepts are, at some level, 'abstract' and 'symbolic', with the idea that sensory and motor information may 'instantiate' online conceptual processing. ?? 2008 Elsevier Ltd. All rights reserved.", "author" : [ { "dropping-particle" : "", "family" : "Mahon", "given" : "Bradford Z.", "non-dropping-particle" : "", "parse-names" : false, "suffix" : "" }, { "dropping-particle" : "", "family" : "Caramazza", "given" : "Alfonso", "non-dropping-particle" : "", "parse-names" : false, "suffix" : "" } ], "container-title" : "Journal of Physiology Paris", "id" : "ITEM-2", "issue" : "1-3", "issued" : { "date-parts" : [ [ "2008" ] ] }, "page" : "59-70", "title" : "A critical look at the embodied cognition hypothesis and a new proposal for grounding conceptual content", "type" : "article-journal", "volume" : "102" }, "uris" : [ "http://www.mendeley.com/documents/?uuid=a63fee8c-3d6f-4698-b04f-aef37285b133" ] }, { "id" : "ITEM-3", "itemData" : { "ISSN" : "0147-006X", "author" : [ { "dropping-particle" : "", "family" : "Caramazza", "given" : "Alfonso", "non-dropping-particle" : "", "parse-names" : false, "suffix" : "" }, { "dropping-particle" : "", "family" : "Anzellotti", "given" : "Stefano", "non-dropping-particle" : "", "parse-names" : false, "suffix" : "" }, { "dropping-particle" : "", "family" : "Strnad", "given" : "Lukas", "non-dropping-particle" : "", "parse-names" : false, "suffix" : "" }, { "dropping-particle" : "", "family" : "Lingnau", "given" : "Angelika", "non-dropping-particle" : "", "parse-names" : false, "suffix" : "" } ], "container-title" : "Annual Review of Neuroscience", "id" : "ITEM-3", "issued" : { "date-parts" : [ [ "2014" ] ] }, "page" : "1-15", "publisher" : "Annual Reviews", "title" : "Embodied cognition and mirror neurons: a critical assessment", "type" : "article-journal", "volume" : "37" }, "uris" : [ "http://www.mendeley.com/documents/?uuid=8999ca00-454b-4cab-9ec3-600b888fe2fb", "http://www.mendeley.com/documents/?uuid=50b5fd83-acd7-45e0-81ac-ad3a065189a7", "http://www.mendeley.com/documents/?uuid=2a961b57-caec-406c-b372-04f9e32a984a" ] } ], "mendeley" : { "formattedCitation" : "(Caramazza et al., 2014; Machery, 2007; Mahon and Caramazza, 2008)", "plainTextFormattedCitation" : "(Caramazza et al., 2014; Machery, 2007; Mahon and Caramazza, 2008)", "previouslyFormattedCitation" : "(Caramazza et al., 2014; Machery, 2007; Mahon and Caramazza, 2008)" }, "properties" : {  }, "schema" : "https://github.com/citation-style-language/schema/raw/master/csl-citation.json" }</w:instrText>
      </w:r>
      <w:r w:rsidRPr="007C17A6">
        <w:rPr>
          <w:rFonts w:ascii="Times New Roman" w:hAnsi="Times New Roman" w:cs="Times New Roman"/>
        </w:rPr>
        <w:fldChar w:fldCharType="separate"/>
      </w:r>
      <w:bookmarkStart w:id="28" w:name="__Fieldmark__213_1687356023"/>
      <w:bookmarkStart w:id="29" w:name="__Fieldmark__235_2073936654"/>
      <w:r w:rsidR="00C00A10" w:rsidRPr="007C17A6">
        <w:rPr>
          <w:rFonts w:ascii="Times New Roman" w:hAnsi="Times New Roman" w:cs="Times New Roman"/>
          <w:noProof/>
          <w:color w:val="000000" w:themeColor="text1"/>
          <w:sz w:val="24"/>
          <w:szCs w:val="24"/>
          <w:lang w:val="en-GB"/>
        </w:rPr>
        <w:t>(Caramazza et al., 2014; Machery, 2007; Mahon and Caramazza, 2008)</w:t>
      </w:r>
      <w:r w:rsidRPr="007C17A6">
        <w:rPr>
          <w:rFonts w:ascii="Times New Roman" w:hAnsi="Times New Roman" w:cs="Times New Roman"/>
        </w:rPr>
        <w:fldChar w:fldCharType="end"/>
      </w:r>
      <w:bookmarkStart w:id="30" w:name="__Fieldmark__486_582625014"/>
      <w:bookmarkStart w:id="31" w:name="__Fieldmark__248_531023477"/>
      <w:bookmarkEnd w:id="28"/>
      <w:bookmarkEnd w:id="29"/>
      <w:bookmarkEnd w:id="30"/>
      <w:bookmarkEnd w:id="31"/>
      <w:r w:rsidRPr="007C17A6">
        <w:rPr>
          <w:rFonts w:ascii="Times New Roman" w:hAnsi="Times New Roman" w:cs="Times New Roman"/>
          <w:color w:val="000000" w:themeColor="text1"/>
          <w:sz w:val="24"/>
          <w:szCs w:val="24"/>
          <w:lang w:val="en-GB"/>
        </w:rPr>
        <w:t>. The evidence for multiple hubs and modality-specific areas for conceptual-semantic knowledge is difficult to reconcile within most current neurobiologic</w:t>
      </w:r>
      <w:r w:rsidR="0077421C" w:rsidRPr="007C17A6">
        <w:rPr>
          <w:rFonts w:ascii="Times New Roman" w:hAnsi="Times New Roman" w:cs="Times New Roman"/>
          <w:color w:val="000000" w:themeColor="text1"/>
          <w:sz w:val="24"/>
          <w:szCs w:val="24"/>
          <w:lang w:val="en-GB"/>
        </w:rPr>
        <w:t>al models of symbol processing.</w:t>
      </w:r>
    </w:p>
    <w:p w14:paraId="64AE1A2A" w14:textId="77777777" w:rsidR="0077421C" w:rsidRPr="007C17A6" w:rsidRDefault="0077421C" w:rsidP="0077421C">
      <w:pPr>
        <w:spacing w:before="120" w:after="120" w:line="240" w:lineRule="auto"/>
        <w:contextualSpacing/>
        <w:jc w:val="both"/>
        <w:rPr>
          <w:rFonts w:ascii="Times New Roman" w:hAnsi="Times New Roman" w:cs="Times New Roman"/>
          <w:color w:val="000000" w:themeColor="text1"/>
          <w:sz w:val="24"/>
          <w:szCs w:val="24"/>
          <w:lang w:val="en-GB"/>
        </w:rPr>
      </w:pPr>
    </w:p>
    <w:p w14:paraId="459F6920" w14:textId="61BA9E2B" w:rsidR="00A838DC" w:rsidRPr="007C17A6" w:rsidRDefault="00E5421A" w:rsidP="0077421C">
      <w:pPr>
        <w:spacing w:before="120" w:after="120" w:line="240" w:lineRule="auto"/>
        <w:contextualSpacing/>
        <w:jc w:val="both"/>
        <w:rPr>
          <w:rFonts w:ascii="Times New Roman" w:hAnsi="Times New Roman" w:cs="Times New Roman"/>
          <w:color w:val="000000" w:themeColor="text1"/>
          <w:sz w:val="24"/>
          <w:szCs w:val="24"/>
        </w:rPr>
      </w:pPr>
      <w:r w:rsidRPr="007C17A6">
        <w:rPr>
          <w:rFonts w:ascii="Times New Roman" w:hAnsi="Times New Roman" w:cs="Times New Roman"/>
          <w:noProof/>
          <w:color w:val="000000" w:themeColor="text1"/>
          <w:sz w:val="24"/>
          <w:szCs w:val="24"/>
        </w:rPr>
        <w:t>To incorporate the diverging semantic theories and data from healthy and patient studies described above</w:t>
      </w:r>
      <w:r w:rsidRPr="007C17A6">
        <w:rPr>
          <w:rFonts w:ascii="Times New Roman" w:hAnsi="Times New Roman" w:cs="Times New Roman"/>
          <w:color w:val="000000" w:themeColor="text1"/>
          <w:sz w:val="24"/>
          <w:szCs w:val="24"/>
        </w:rPr>
        <w:t>, it is necessary to build sophisticated cortical models of networks of different relevant areas, including their con</w:t>
      </w:r>
      <w:r w:rsidR="00A977CA" w:rsidRPr="007C17A6">
        <w:rPr>
          <w:rFonts w:ascii="Times New Roman" w:hAnsi="Times New Roman" w:cs="Times New Roman"/>
          <w:color w:val="000000" w:themeColor="text1"/>
          <w:sz w:val="24"/>
          <w:szCs w:val="24"/>
        </w:rPr>
        <w:t>nectivity</w:t>
      </w:r>
      <w:r w:rsidRPr="007C17A6">
        <w:rPr>
          <w:rFonts w:ascii="Times New Roman" w:hAnsi="Times New Roman" w:cs="Times New Roman"/>
          <w:color w:val="000000" w:themeColor="text1"/>
          <w:sz w:val="24"/>
          <w:szCs w:val="24"/>
        </w:rPr>
        <w:t xml:space="preserve"> that can predict or offer a mechanistic explanation of semantic processing in the human brain. </w:t>
      </w:r>
      <w:r w:rsidR="000C2BA0" w:rsidRPr="007C17A6">
        <w:rPr>
          <w:rFonts w:ascii="Times New Roman" w:hAnsi="Times New Roman" w:cs="Times New Roman"/>
          <w:noProof/>
          <w:color w:val="000000" w:themeColor="text1"/>
          <w:sz w:val="24"/>
          <w:szCs w:val="24"/>
        </w:rPr>
        <w:t>This</w:t>
      </w:r>
      <w:r w:rsidR="000C2BA0" w:rsidRPr="007C17A6">
        <w:rPr>
          <w:rFonts w:ascii="Times New Roman" w:hAnsi="Times New Roman" w:cs="Times New Roman"/>
          <w:color w:val="000000" w:themeColor="text1"/>
          <w:sz w:val="24"/>
          <w:szCs w:val="24"/>
        </w:rPr>
        <w:t xml:space="preserve"> in</w:t>
      </w:r>
      <w:r w:rsidRPr="007C17A6">
        <w:rPr>
          <w:rFonts w:ascii="Times New Roman" w:hAnsi="Times New Roman" w:cs="Times New Roman"/>
          <w:color w:val="000000" w:themeColor="text1"/>
          <w:sz w:val="24"/>
          <w:szCs w:val="24"/>
        </w:rPr>
        <w:t xml:space="preserve"> many cases can confirm a theoretical </w:t>
      </w:r>
      <w:r w:rsidR="000C2BA0" w:rsidRPr="007C17A6">
        <w:rPr>
          <w:rFonts w:ascii="Times New Roman" w:hAnsi="Times New Roman" w:cs="Times New Roman"/>
          <w:color w:val="000000" w:themeColor="text1"/>
          <w:sz w:val="24"/>
          <w:szCs w:val="24"/>
        </w:rPr>
        <w:t>framework</w:t>
      </w:r>
      <w:r w:rsidR="00D050D1" w:rsidRPr="007C17A6">
        <w:rPr>
          <w:rFonts w:ascii="Times New Roman" w:hAnsi="Times New Roman" w:cs="Times New Roman"/>
          <w:color w:val="000000" w:themeColor="text1"/>
          <w:sz w:val="24"/>
          <w:szCs w:val="24"/>
        </w:rPr>
        <w:t>,</w:t>
      </w:r>
      <w:r w:rsidR="000C2BA0" w:rsidRPr="007C17A6">
        <w:rPr>
          <w:rFonts w:ascii="Times New Roman" w:hAnsi="Times New Roman" w:cs="Times New Roman"/>
          <w:color w:val="000000" w:themeColor="text1"/>
          <w:sz w:val="24"/>
          <w:szCs w:val="24"/>
        </w:rPr>
        <w:t xml:space="preserve"> </w:t>
      </w:r>
      <w:r w:rsidR="000C2BA0" w:rsidRPr="007C17A6">
        <w:rPr>
          <w:rFonts w:ascii="Times New Roman" w:hAnsi="Times New Roman" w:cs="Times New Roman"/>
          <w:noProof/>
          <w:color w:val="000000" w:themeColor="text1"/>
          <w:sz w:val="24"/>
          <w:szCs w:val="24"/>
        </w:rPr>
        <w:t>e.g</w:t>
      </w:r>
      <w:r w:rsidRPr="007C17A6">
        <w:rPr>
          <w:rFonts w:ascii="Times New Roman" w:hAnsi="Times New Roman" w:cs="Times New Roman"/>
          <w:noProof/>
          <w:color w:val="000000" w:themeColor="text1"/>
          <w:sz w:val="24"/>
          <w:szCs w:val="24"/>
        </w:rPr>
        <w:t>.</w:t>
      </w:r>
      <w:r w:rsidRPr="007C17A6">
        <w:rPr>
          <w:rFonts w:ascii="Times New Roman" w:hAnsi="Times New Roman" w:cs="Times New Roman"/>
          <w:color w:val="000000" w:themeColor="text1"/>
          <w:sz w:val="24"/>
          <w:szCs w:val="24"/>
        </w:rPr>
        <w:t xml:space="preserve"> in our context</w:t>
      </w:r>
      <w:r w:rsidR="00D54BE4" w:rsidRPr="007C17A6">
        <w:rPr>
          <w:rFonts w:ascii="Times New Roman" w:hAnsi="Times New Roman" w:cs="Times New Roman"/>
          <w:color w:val="000000" w:themeColor="text1"/>
          <w:sz w:val="24"/>
          <w:szCs w:val="24"/>
        </w:rPr>
        <w:t xml:space="preserve"> it</w:t>
      </w:r>
      <w:r w:rsidRPr="007C17A6">
        <w:rPr>
          <w:rFonts w:ascii="Times New Roman" w:hAnsi="Times New Roman" w:cs="Times New Roman"/>
          <w:color w:val="000000" w:themeColor="text1"/>
          <w:sz w:val="24"/>
          <w:szCs w:val="24"/>
        </w:rPr>
        <w:t xml:space="preserve"> may be able to distinguish between the emergence of distributed semantic networks across different areas versus more </w:t>
      </w:r>
      <w:r w:rsidRPr="007C17A6">
        <w:rPr>
          <w:rFonts w:ascii="Times New Roman" w:hAnsi="Times New Roman" w:cs="Times New Roman"/>
          <w:noProof/>
          <w:color w:val="000000" w:themeColor="text1"/>
          <w:sz w:val="24"/>
          <w:szCs w:val="24"/>
        </w:rPr>
        <w:t>locali</w:t>
      </w:r>
      <w:r w:rsidR="0052370F" w:rsidRPr="007C17A6">
        <w:rPr>
          <w:rFonts w:ascii="Times New Roman" w:hAnsi="Times New Roman" w:cs="Times New Roman"/>
          <w:noProof/>
          <w:color w:val="000000" w:themeColor="text1"/>
          <w:sz w:val="24"/>
          <w:szCs w:val="24"/>
        </w:rPr>
        <w:t>z</w:t>
      </w:r>
      <w:r w:rsidRPr="007C17A6">
        <w:rPr>
          <w:rFonts w:ascii="Times New Roman" w:hAnsi="Times New Roman" w:cs="Times New Roman"/>
          <w:noProof/>
          <w:color w:val="000000" w:themeColor="text1"/>
          <w:sz w:val="24"/>
          <w:szCs w:val="24"/>
        </w:rPr>
        <w:t>ed</w:t>
      </w:r>
      <w:r w:rsidRPr="007C17A6">
        <w:rPr>
          <w:rFonts w:ascii="Times New Roman" w:hAnsi="Times New Roman" w:cs="Times New Roman"/>
          <w:color w:val="000000" w:themeColor="text1"/>
          <w:sz w:val="24"/>
          <w:szCs w:val="24"/>
        </w:rPr>
        <w:t xml:space="preserve"> semantic “symbolic” circuits</w:t>
      </w:r>
      <w:r w:rsidR="00A977CA" w:rsidRPr="007C17A6">
        <w:rPr>
          <w:rFonts w:ascii="Times New Roman" w:hAnsi="Times New Roman" w:cs="Times New Roman"/>
          <w:color w:val="000000" w:themeColor="text1"/>
          <w:sz w:val="24"/>
          <w:szCs w:val="24"/>
        </w:rPr>
        <w:t xml:space="preserve"> restricted exclusively to so-called “semantic hubs</w:t>
      </w:r>
      <w:r w:rsidR="00A977CA" w:rsidRPr="007C17A6">
        <w:rPr>
          <w:rFonts w:ascii="Times New Roman" w:hAnsi="Times New Roman" w:cs="Times New Roman"/>
          <w:noProof/>
          <w:color w:val="000000" w:themeColor="text1"/>
          <w:sz w:val="24"/>
          <w:szCs w:val="24"/>
        </w:rPr>
        <w:t>”</w:t>
      </w:r>
      <w:r w:rsidRPr="007C17A6">
        <w:rPr>
          <w:rFonts w:ascii="Times New Roman" w:hAnsi="Times New Roman" w:cs="Times New Roman"/>
          <w:noProof/>
          <w:color w:val="000000" w:themeColor="text1"/>
          <w:sz w:val="24"/>
          <w:szCs w:val="24"/>
        </w:rPr>
        <w:t>.</w:t>
      </w:r>
      <w:r w:rsidRPr="007C17A6">
        <w:rPr>
          <w:rFonts w:ascii="Times New Roman" w:hAnsi="Times New Roman" w:cs="Times New Roman"/>
          <w:color w:val="000000" w:themeColor="text1"/>
          <w:sz w:val="24"/>
          <w:szCs w:val="24"/>
        </w:rPr>
        <w:t xml:space="preserve"> Based on previous integrative proposals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"10.1016/0010-0277(89)90005-X", "ISBN" : "0010-0277 (Print)\\r0010-0277 (Linking)", "ISSN" : "00100277", "PMID" : "2691184", "abstract" : "This article outlines a theoretical framework for the understanding of the neural basis of memory and consciousness, at systems level. It proposes an architecture constituted by: (1) neuron ensembles located in multiple and separate regions of primary and first-order sensory association cortices (\"early cortices\") and motor cortices; they contain representations of feature fragments inscribed as patterns of activity originally engaged by perceptuomotor interactions; (2) neuron ensembles located downstream from the former throughout single modality cortices (local convergence zones); they inscribe amodal records of the combinatorial arrangement of feature fragments that occurred synchronously during the experience of entities or events in sector (1); (3) neuron ensembles located downstream from the former throughout higher-order association cortices (non-local convergence zones), which inscribe amodal records of the synchronous combinatorial arrangements of local convergence zones during the experience of entities and events in sector (1); (4) feed-forward and feedback projections interlocking reciprocally the neuron ensembles in (1) with those in (2) according to a many-to-one (feed-forward) and one-to-many (feedback) principle. I propose that (a) recall of entities and events occurs when the neuron ensembles in (1) are activated in time-locked fashion; (b) the synchronous activations are directed from convergence zones in (2) and (3); and (c) the process of reactivation is triggered from firing in convergence zones and mediated by feedback projections. This proposal rejects a single anatomical site for the integration of memory and motor processes and a single store for the meaning of entities of events. Meaning is reached by time-locked multiregional retroactivation of widespread fragment records. Only the latter records can become contents of consciousness. ?? 1989.", "author" : [ { "dropping-particle" : "", "family" : "Damasio", "given" : "Antonio R.", "non-dropping-particle" : "", "parse-names" : false, "suffix" : "" } ], "container-title" : "Cognition", "edition" : "1989/11/01", "id" : "ITEM-1", "issue" : "1-2", "issued" : { "date-parts" : [ [ "1989" ] ] }, "language" : "eng", "note" : "Damasio, A R\nP01 NS19632/NS/NINDS NIH HHS/\nSWITZERLAND\nCognition. 1989 Nov;33(1-2):25-62.", "page" : "25-62", "title" : "Time-locked multiregional retroactivation: A systems-level proposal for the neural substrates of recall and recognition", "type" : "article-journal", "volume" : "33" }, "uris" : [ "http://www.mendeley.com/documents/?uuid=85485bc8-b9c6-4300-bd13-176327ee2f66" ] }, { "id" : "ITEM-2", "itemData" : { "DOI" : "10.1016/j.tics.2013.06.004", "ISBN" : "1364-6613", "ISSN" : "13646613", "PMID" : "23932069", "abstract" : "How brain structures and neuronal circuits mechanistically underpin symbolic meaning has recently been elucidated by neuroimaging, neuropsychological, and neurocomputational research. Modality-specific 'embodied' mechanisms anchored in sensorimotor systems appear to be relevant, as are 'disembodied' mechanisms in multimodal areas. In this paper, four semantic mechanisms are proposed and spelt out at the level of neuronal circuits: referential semantics, which establishes links between symbols and the objects and actions they are used to speak about; combinatorial semantics, which enables the learning of symbolic meaning from context; emotional-affective semantics, which establishes links between signs and internal states of the body; and abstraction mechanisms for generalizing over a range of instances of semantic meaning. Referential, combinatorial, emotional-affective, and abstract semantics are complementary mechanisms, each necessary for processing meaning in mind and brain. \u00a9 2013 Elsevier Ltd.", "author" : [ { "dropping-particle" : "", "family" : "Pulverm\u00fcller", "given" : "Friedemann", "non-dropping-particle" : "", "parse-names" : false, "suffix" : "" } ], "container-title" : "Trends in Cognitive Sciences", "id" : "ITEM-2", "issue" : "9", "issued" : { "date-parts" : [ [ "2013", "9" ] ] }, "page" : "458-470", "title" : "How neurons make meaning: Brain mechanisms for embodied and abstract-symbolic semantics", "type" : "article-journal", "volume" : "17" }, "uris" : [ "http://www.mendeley.com/documents/?uuid=8877ae30-8f96-4672-817d-cb94622f89cb" ] } ], "mendeley" : { "formattedCitation" : "(Damasio, 1989; Pulverm\u00fcller, 2013)", "plainTextFormattedCitation" : "(Damasio, 1989; Pulverm\u00fcller, 2013)", "previouslyFormattedCitation" : "(Damasio, 1989; Pulverm\u00fcller, 2013)" }, "properties" : {  }, "schema" : "https://github.com/citation-style-language/schema/raw/master/csl-citation.json" }</w:instrText>
      </w:r>
      <w:r w:rsidRPr="007C17A6">
        <w:rPr>
          <w:rFonts w:ascii="Times New Roman" w:hAnsi="Times New Roman" w:cs="Times New Roman"/>
        </w:rPr>
        <w:fldChar w:fldCharType="separate"/>
      </w:r>
      <w:bookmarkStart w:id="32" w:name="__Fieldmark__232_1687356023"/>
      <w:r w:rsidR="00C00A10" w:rsidRPr="007C17A6">
        <w:rPr>
          <w:rFonts w:ascii="Times New Roman" w:hAnsi="Times New Roman" w:cs="Times New Roman"/>
          <w:noProof/>
          <w:color w:val="000000" w:themeColor="text1"/>
          <w:sz w:val="24"/>
          <w:szCs w:val="24"/>
          <w:lang w:val="en-GB"/>
        </w:rPr>
        <w:t>(Damasio, 1989; Pulvermüller, 2013)</w:t>
      </w:r>
      <w:r w:rsidRPr="007C17A6">
        <w:rPr>
          <w:rFonts w:ascii="Times New Roman" w:hAnsi="Times New Roman" w:cs="Times New Roman"/>
        </w:rPr>
        <w:fldChar w:fldCharType="end"/>
      </w:r>
      <w:bookmarkEnd w:id="32"/>
      <w:r w:rsidRPr="007C17A6">
        <w:rPr>
          <w:rFonts w:ascii="Times New Roman" w:hAnsi="Times New Roman" w:cs="Times New Roman"/>
          <w:color w:val="000000" w:themeColor="text1"/>
          <w:sz w:val="24"/>
          <w:szCs w:val="24"/>
        </w:rPr>
        <w:t xml:space="preserve">, we </w:t>
      </w:r>
      <w:r w:rsidRPr="007C17A6">
        <w:rPr>
          <w:rFonts w:ascii="Times New Roman" w:hAnsi="Times New Roman" w:cs="Times New Roman"/>
          <w:noProof/>
          <w:color w:val="000000" w:themeColor="text1"/>
          <w:sz w:val="24"/>
          <w:szCs w:val="24"/>
        </w:rPr>
        <w:t>hypothesi</w:t>
      </w:r>
      <w:r w:rsidR="0052370F" w:rsidRPr="007C17A6">
        <w:rPr>
          <w:rFonts w:ascii="Times New Roman" w:hAnsi="Times New Roman" w:cs="Times New Roman"/>
          <w:noProof/>
          <w:color w:val="000000" w:themeColor="text1"/>
          <w:sz w:val="24"/>
          <w:szCs w:val="24"/>
        </w:rPr>
        <w:t>z</w:t>
      </w:r>
      <w:r w:rsidRPr="007C17A6">
        <w:rPr>
          <w:rFonts w:ascii="Times New Roman" w:hAnsi="Times New Roman" w:cs="Times New Roman"/>
          <w:noProof/>
          <w:color w:val="000000" w:themeColor="text1"/>
          <w:sz w:val="24"/>
          <w:szCs w:val="24"/>
        </w:rPr>
        <w:t>e</w:t>
      </w:r>
      <w:r w:rsidRPr="007C17A6">
        <w:rPr>
          <w:rFonts w:ascii="Times New Roman" w:hAnsi="Times New Roman" w:cs="Times New Roman"/>
          <w:color w:val="000000" w:themeColor="text1"/>
          <w:sz w:val="24"/>
          <w:szCs w:val="24"/>
        </w:rPr>
        <w:t xml:space="preserve"> that semantic </w:t>
      </w:r>
      <w:r w:rsidRPr="007C17A6">
        <w:rPr>
          <w:rFonts w:ascii="Times New Roman" w:hAnsi="Times New Roman" w:cs="Times New Roman"/>
          <w:color w:val="000000" w:themeColor="text1"/>
          <w:sz w:val="24"/>
          <w:szCs w:val="24"/>
          <w:lang w:val="en-GB"/>
        </w:rPr>
        <w:t xml:space="preserve">category-specific and category-general </w:t>
      </w:r>
      <w:r w:rsidRPr="007C17A6">
        <w:rPr>
          <w:rFonts w:ascii="Times New Roman" w:hAnsi="Times New Roman" w:cs="Times New Roman"/>
          <w:noProof/>
          <w:color w:val="000000" w:themeColor="text1"/>
          <w:sz w:val="24"/>
          <w:szCs w:val="24"/>
          <w:lang w:val="en-GB"/>
        </w:rPr>
        <w:t>behavio</w:t>
      </w:r>
      <w:r w:rsidR="0083266B" w:rsidRPr="007C17A6">
        <w:rPr>
          <w:rFonts w:ascii="Times New Roman" w:hAnsi="Times New Roman" w:cs="Times New Roman"/>
          <w:noProof/>
          <w:color w:val="000000" w:themeColor="text1"/>
          <w:sz w:val="24"/>
          <w:szCs w:val="24"/>
          <w:lang w:val="en-GB"/>
        </w:rPr>
        <w:t>u</w:t>
      </w:r>
      <w:r w:rsidRPr="007C17A6">
        <w:rPr>
          <w:rFonts w:ascii="Times New Roman" w:hAnsi="Times New Roman" w:cs="Times New Roman"/>
          <w:noProof/>
          <w:color w:val="000000" w:themeColor="text1"/>
          <w:sz w:val="24"/>
          <w:szCs w:val="24"/>
          <w:lang w:val="en-GB"/>
        </w:rPr>
        <w:t>rs</w:t>
      </w:r>
      <w:r w:rsidRPr="007C17A6">
        <w:rPr>
          <w:rFonts w:ascii="Times New Roman" w:hAnsi="Times New Roman" w:cs="Times New Roman"/>
          <w:color w:val="000000" w:themeColor="text1"/>
          <w:sz w:val="24"/>
          <w:szCs w:val="24"/>
          <w:lang w:val="en-GB"/>
        </w:rPr>
        <w:t xml:space="preserve"> in different cortical areas are a direct consequence of the neuroanatomical connectivity between the areas involved and learning experience</w:t>
      </w:r>
      <w:r w:rsidR="00B84E09" w:rsidRPr="007C17A6">
        <w:rPr>
          <w:rFonts w:ascii="Times New Roman" w:hAnsi="Times New Roman" w:cs="Times New Roman"/>
          <w:color w:val="000000" w:themeColor="text1"/>
          <w:sz w:val="24"/>
          <w:szCs w:val="24"/>
          <w:lang w:val="en-GB"/>
        </w:rPr>
        <w:t>s</w:t>
      </w:r>
      <w:r w:rsidRPr="007C17A6">
        <w:rPr>
          <w:rFonts w:ascii="Times New Roman" w:hAnsi="Times New Roman" w:cs="Times New Roman"/>
          <w:color w:val="000000" w:themeColor="text1"/>
          <w:sz w:val="24"/>
          <w:szCs w:val="24"/>
          <w:lang w:val="en-GB"/>
        </w:rPr>
        <w:t xml:space="preserve"> that grounds concepts in distributed cortical circuits. These circuits are distributed across semantic areas </w:t>
      </w:r>
      <w:r w:rsidR="00422A67" w:rsidRPr="007C17A6">
        <w:rPr>
          <w:rFonts w:ascii="Times New Roman" w:hAnsi="Times New Roman" w:cs="Times New Roman"/>
          <w:color w:val="000000" w:themeColor="text1"/>
          <w:sz w:val="24"/>
          <w:szCs w:val="24"/>
          <w:lang w:val="en-GB"/>
        </w:rPr>
        <w:t xml:space="preserve">and </w:t>
      </w:r>
      <w:r w:rsidR="000C2BA0" w:rsidRPr="007C17A6">
        <w:rPr>
          <w:rFonts w:ascii="Times New Roman" w:hAnsi="Times New Roman" w:cs="Times New Roman"/>
          <w:color w:val="000000" w:themeColor="text1"/>
          <w:sz w:val="24"/>
          <w:szCs w:val="24"/>
          <w:lang w:val="en-GB"/>
        </w:rPr>
        <w:t>include</w:t>
      </w:r>
      <w:r w:rsidRPr="007C17A6">
        <w:rPr>
          <w:rFonts w:ascii="Times New Roman" w:hAnsi="Times New Roman" w:cs="Times New Roman"/>
          <w:color w:val="000000" w:themeColor="text1"/>
          <w:sz w:val="24"/>
          <w:szCs w:val="24"/>
          <w:lang w:val="en-GB"/>
        </w:rPr>
        <w:t xml:space="preserve"> neurons in modality-specific and multi-modal </w:t>
      </w:r>
      <w:r w:rsidR="003946FC" w:rsidRPr="007C17A6">
        <w:rPr>
          <w:rFonts w:ascii="Times New Roman" w:hAnsi="Times New Roman" w:cs="Times New Roman"/>
          <w:color w:val="000000" w:themeColor="text1"/>
          <w:sz w:val="24"/>
          <w:szCs w:val="24"/>
          <w:lang w:val="en-GB"/>
        </w:rPr>
        <w:t>hub</w:t>
      </w:r>
      <w:r w:rsidRPr="007C17A6">
        <w:rPr>
          <w:rFonts w:ascii="Times New Roman" w:hAnsi="Times New Roman" w:cs="Times New Roman"/>
          <w:color w:val="000000" w:themeColor="text1"/>
          <w:sz w:val="24"/>
          <w:szCs w:val="24"/>
          <w:lang w:val="en-GB"/>
        </w:rPr>
        <w:t xml:space="preserve"> are</w:t>
      </w:r>
      <w:r w:rsidR="00B84E09" w:rsidRPr="007C17A6">
        <w:rPr>
          <w:rFonts w:ascii="Times New Roman" w:hAnsi="Times New Roman" w:cs="Times New Roman"/>
          <w:color w:val="000000" w:themeColor="text1"/>
          <w:sz w:val="24"/>
          <w:szCs w:val="24"/>
          <w:lang w:val="en-GB"/>
        </w:rPr>
        <w:t>as dependent on aspects of the represented symbols/words</w:t>
      </w:r>
      <w:r w:rsidRPr="007C17A6">
        <w:rPr>
          <w:rFonts w:ascii="Times New Roman" w:hAnsi="Times New Roman" w:cs="Times New Roman"/>
          <w:color w:val="000000" w:themeColor="text1"/>
          <w:sz w:val="24"/>
          <w:szCs w:val="24"/>
        </w:rPr>
        <w:t>. Here, we attempt to address this theoretical hypothesis with a neurobiolog</w:t>
      </w:r>
      <w:r w:rsidR="00360E10" w:rsidRPr="007C17A6">
        <w:rPr>
          <w:rFonts w:ascii="Times New Roman" w:hAnsi="Times New Roman" w:cs="Times New Roman"/>
          <w:color w:val="000000" w:themeColor="text1"/>
          <w:sz w:val="24"/>
          <w:szCs w:val="24"/>
        </w:rPr>
        <w:t xml:space="preserve">ically </w:t>
      </w:r>
      <w:r w:rsidRPr="007C17A6">
        <w:rPr>
          <w:rFonts w:ascii="Times New Roman" w:hAnsi="Times New Roman" w:cs="Times New Roman"/>
          <w:color w:val="000000" w:themeColor="text1"/>
          <w:sz w:val="24"/>
          <w:szCs w:val="24"/>
        </w:rPr>
        <w:t>constrained spiking model of the cortex that integrates the diverging semantic theories, an</w:t>
      </w:r>
      <w:r w:rsidR="00B84E09" w:rsidRPr="007C17A6">
        <w:rPr>
          <w:rFonts w:ascii="Times New Roman" w:hAnsi="Times New Roman" w:cs="Times New Roman"/>
          <w:color w:val="000000" w:themeColor="text1"/>
          <w:sz w:val="24"/>
          <w:szCs w:val="24"/>
        </w:rPr>
        <w:t>d data from healthy and patient</w:t>
      </w:r>
      <w:r w:rsidRPr="007C17A6">
        <w:rPr>
          <w:rFonts w:ascii="Times New Roman" w:hAnsi="Times New Roman" w:cs="Times New Roman"/>
          <w:color w:val="000000" w:themeColor="text1"/>
          <w:sz w:val="24"/>
          <w:szCs w:val="24"/>
        </w:rPr>
        <w:t xml:space="preserve"> studies as described above. </w:t>
      </w:r>
    </w:p>
    <w:p w14:paraId="0E05B1D0" w14:textId="77777777" w:rsidR="00E740D6" w:rsidRPr="007C17A6" w:rsidRDefault="00E740D6" w:rsidP="00E740D6">
      <w:pPr>
        <w:spacing w:before="120" w:after="120" w:line="240" w:lineRule="auto"/>
        <w:ind w:firstLine="288"/>
        <w:contextualSpacing/>
        <w:jc w:val="both"/>
        <w:rPr>
          <w:rFonts w:ascii="Times New Roman" w:hAnsi="Times New Roman" w:cs="Times New Roman"/>
        </w:rPr>
      </w:pPr>
    </w:p>
    <w:p w14:paraId="0F90C1A0" w14:textId="69C15B70" w:rsidR="00A838DC" w:rsidRPr="007C17A6" w:rsidRDefault="00E5421A" w:rsidP="0077421C">
      <w:pPr>
        <w:spacing w:before="120" w:after="120" w:line="240" w:lineRule="auto"/>
        <w:contextualSpacing/>
        <w:jc w:val="both"/>
        <w:rPr>
          <w:rFonts w:ascii="Times New Roman" w:hAnsi="Times New Roman" w:cs="Times New Roman"/>
          <w:color w:val="000000" w:themeColor="text1"/>
          <w:sz w:val="24"/>
          <w:szCs w:val="24"/>
          <w:lang w:val="en-GB"/>
        </w:rPr>
      </w:pPr>
      <w:r w:rsidRPr="007C17A6">
        <w:rPr>
          <w:rFonts w:ascii="Times New Roman" w:hAnsi="Times New Roman" w:cs="Times New Roman"/>
          <w:color w:val="000000" w:themeColor="text1"/>
          <w:sz w:val="24"/>
          <w:szCs w:val="24"/>
          <w:lang w:val="en-GB"/>
        </w:rPr>
        <w:lastRenderedPageBreak/>
        <w:t xml:space="preserve">Recent simulations of cortical learning and function incorporating fine microstructural and physiological details of millions of neurons </w:t>
      </w: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"10.1073/pnas.0712231105", "ISBN" : "1091-6490 (Electronic)\\r0027-8424 (Linking)", "ISSN" : "1091-6490", "PMID" : "18292226", "abstract" : "The understanding of the structural and dynamic complexity of mammalian brains is greatly facilitated by computer simulations. We present here a detailed large-scale thalamocortical model based on experimental measures in several mammalian species. The model spans three anatomical scales. (i) It is based on global (white-matter) thalamocortical anatomy obtained by means of diffusion tensor imaging (DTI) of a human brain. (ii) It includes multiple thalamic nuclei and six-layered cortical microcircuitry based on in vitro labeling and three-dimensional reconstruction of single neurons of cat visual cortex. (iii) It has 22 basic types of neurons with appropriate laminar distribution of their branching dendritic trees. The model simulates one million multicompartmental spiking neurons calibrated to reproduce known types of responses recorded in vitro in rats. It has almost half a billion synapses with appropriate receptor kinetics, short-term plasticity, and long-term dendritic spike-timing-dependent synaptic plasticity (dendritic STDP). The model exhibits behavioral regimes of normal brain activity that were not explicitly built-in but emerged spontaneously as the result of interactions among anatomical and dynamic processes. We describe spontaneous activity, sensitivity to changes in individual neurons, emergence of waves and rhythms, and functional connectivity on different scales.", "author" : [ { "dropping-particle" : "", "family" : "Izhikevich", "given" : "Eugene M", "non-dropping-particle" : "", "parse-names" : false, "suffix" : "" }, { "dropping-particle" : "", "family" : "Edelman", "given" : "Gerald", "non-dropping-particle" : "", "parse-names" : false, "suffix" : "" } ], "container-title" : "Proc. Natl. Acad. Sci. USA", "id" : "ITEM-1", "issue" : "9", "issued" : { "date-parts" : [ [ "2008" ] ] }, "page" : "3593-3598", "title" : "Large-scale model of mammalian thalamocortical systems", "type" : "article-journal", "volume" : "105" }, "uris" : [ "http://www.mendeley.com/documents/?uuid=3f8efc20-f2a3-47ad-ac5e-1c78ef452847" ] }, { "id" : "ITEM-2", "itemData" : { "DOI" : "10.1016/j.procs.2011.12.015", "ISBN" : "1877-0509", "ISSN" : "18770509", "abstract" : "The Human Brain Project (HBP) is a candidate project in the European Union's FET Flagship Program, funded by the ICT Program in the Seventh Framework Program. The project will develop a new integrated strategy for understanding the human brain and a novel research platform that will integrate all the data and knowledge we can acquire about the structure and function of the brain and use it to build unifying models that can be validated by simulations running on supercomputers. The project will drive the development of supercomputing for the life sciences, generate new neuroscientific data as a benchmark for modeling, develop radically new tools for informatics, modeling and simulation, and build virtual laboratories for collaborative basic and clinical studies, drug simulation and virtual prototyping of neuroprosthetic, neuromorphic, and robotic devices. ?? Selection and peer-review under responsibility of FET11 conference organizers and published by Elsevier B.V.", "author" : [ { "dropping-particle" : "", "family" : "Markram", "given" : "Henry", "non-dropping-particle" : "", "parse-names" : false, "suffix" : "" }, { "dropping-particle" : "", "family" : "Meier", "given" : "Karlheinz", "non-dropping-particle" : "", "parse-names" : false, "suffix" : "" }, { "dropping-particle" : "", "family" : "Lippert", "given" : "Thomas", "non-dropping-particle" : "", "parse-names" : false, "suffix" : "" }, { "dropping-particle" : "", "family" : "Grillner", "given" : "Sten", "non-dropping-particle" : "", "parse-names" : false, "suffix" : "" }, { "dropping-particle" : "", "family" : "Frackowiak", "given" : "Richard", "non-dropping-particle" : "", "parse-names" : false, "suffix" : "" }, { "dropping-particle" : "", "family" : "Dehaene", "given" : "Stanislas", "non-dropping-particle" : "", "parse-names" : false, "suffix" : "" }, { "dropping-particle" : "", "family" : "Knoll", "given" : "Alois", "non-dropping-particle" : "", "parse-names" : false, "suffix" : "" }, { "dropping-particle" : "", "family" : "Sompolinsky", "given" : "Haim", "non-dropping-particle" : "", "parse-names" : false, "suffix" : "" }, { "dropping-particle" : "", "family" : "Verstreken", "given" : "Kris", "non-dropping-particle" : "", "parse-names" : false, "suffix" : "" }, { "dropping-particle" : "", "family" : "DeFelipe", "given" : "Javier", "non-dropping-particle" : "", "parse-names" : false, "suffix" : "" }, { "dropping-particle" : "", "family" : "Grant", "given" : "Seth", "non-dropping-particle" : "", "parse-names" : false, "suffix" : "" }, { "dropping-particle" : "", "family" : "Changeux", "given" : "Jean Pierre", "non-dropping-particle" : "", "parse-names" : false, "suffix" : "" }, { "dropping-particle" : "", "family" : "Sariam", "given" : "Alois", "non-dropping-particle" : "", "parse-names" : false, "suffix" : "" } ], "container-title" : "Procedia Computer Science", "id" : "ITEM-2", "issued" : { "date-parts" : [ [ "2011" ] ] }, "page" : "39-42", "title" : "Introducing the Human Brain Project", "type" : "article-journal", "volume" : "7" }, "uris" : [ "http://www.mendeley.com/documents/?uuid=7aae606b-9edc-42cb-8de7-d41d2a58d477" ] } ], "mendeley" : { "formattedCitation" : "(Izhikevich and Edelman, 2008; Markram et al., 2011)", "plainTextFormattedCitation" : "(Izhikevich and Edelman, 2008; Markram et al., 2011)", "previouslyFormattedCitation" : "(Izhikevich and Edelman, 2008; Markram et al., 2011)"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33" w:name="__Fieldmark__251_1687356023"/>
      <w:bookmarkStart w:id="34" w:name="__Fieldmark__266_531023477"/>
      <w:bookmarkStart w:id="35" w:name="__Fieldmark__259_2073936654"/>
      <w:r w:rsidR="00C00A10" w:rsidRPr="007C17A6">
        <w:rPr>
          <w:rFonts w:ascii="Times New Roman" w:hAnsi="Times New Roman" w:cs="Times New Roman"/>
          <w:noProof/>
          <w:color w:val="000000" w:themeColor="text1"/>
          <w:sz w:val="24"/>
          <w:szCs w:val="24"/>
          <w:lang w:val="en-GB"/>
        </w:rPr>
        <w:t>(Izhikevich and Edelman, 2008; Markram et al., 2011)</w:t>
      </w:r>
      <w:r w:rsidRPr="007C17A6">
        <w:rPr>
          <w:rFonts w:ascii="Times New Roman" w:hAnsi="Times New Roman" w:cs="Times New Roman"/>
          <w:sz w:val="24"/>
          <w:szCs w:val="24"/>
        </w:rPr>
        <w:fldChar w:fldCharType="end"/>
      </w:r>
      <w:bookmarkEnd w:id="33"/>
      <w:bookmarkEnd w:id="34"/>
      <w:bookmarkEnd w:id="35"/>
      <w:r w:rsidRPr="007C17A6">
        <w:rPr>
          <w:rFonts w:ascii="Times New Roman" w:hAnsi="Times New Roman" w:cs="Times New Roman"/>
          <w:color w:val="000000" w:themeColor="text1"/>
          <w:sz w:val="24"/>
          <w:szCs w:val="24"/>
          <w:lang w:val="en-GB"/>
        </w:rPr>
        <w:t xml:space="preserve"> have not yet addressed specific questions about the neurobiological basis of specific cognitive functions such as semantic processing. Previous connectionist models have</w:t>
      </w:r>
      <w:r w:rsidR="004155FA" w:rsidRPr="007C17A6">
        <w:rPr>
          <w:rFonts w:ascii="Times New Roman" w:hAnsi="Times New Roman" w:cs="Times New Roman"/>
          <w:color w:val="000000" w:themeColor="text1"/>
          <w:sz w:val="24"/>
          <w:szCs w:val="24"/>
          <w:lang w:val="en-GB"/>
        </w:rPr>
        <w:t xml:space="preserve"> made </w:t>
      </w:r>
      <w:r w:rsidR="00D21780" w:rsidRPr="007C17A6">
        <w:rPr>
          <w:rFonts w:ascii="Times New Roman" w:hAnsi="Times New Roman" w:cs="Times New Roman"/>
          <w:color w:val="000000" w:themeColor="text1"/>
          <w:sz w:val="24"/>
          <w:szCs w:val="24"/>
          <w:lang w:val="en-GB"/>
        </w:rPr>
        <w:t>significant</w:t>
      </w:r>
      <w:r w:rsidRPr="007C17A6">
        <w:rPr>
          <w:rFonts w:ascii="Times New Roman" w:hAnsi="Times New Roman" w:cs="Times New Roman"/>
          <w:color w:val="000000" w:themeColor="text1"/>
          <w:sz w:val="24"/>
          <w:szCs w:val="24"/>
          <w:lang w:val="en-GB"/>
        </w:rPr>
        <w:t xml:space="preserve"> </w:t>
      </w:r>
      <w:r w:rsidR="004155FA" w:rsidRPr="007C17A6">
        <w:rPr>
          <w:rFonts w:ascii="Times New Roman" w:hAnsi="Times New Roman" w:cs="Times New Roman"/>
          <w:color w:val="000000" w:themeColor="text1"/>
          <w:sz w:val="24"/>
          <w:szCs w:val="24"/>
          <w:lang w:val="en-GB"/>
        </w:rPr>
        <w:t>progress on the understanding of</w:t>
      </w:r>
      <w:r w:rsidRPr="007C17A6">
        <w:rPr>
          <w:rFonts w:ascii="Times New Roman" w:hAnsi="Times New Roman" w:cs="Times New Roman"/>
          <w:color w:val="000000" w:themeColor="text1"/>
          <w:sz w:val="24"/>
          <w:szCs w:val="24"/>
          <w:lang w:val="en-GB"/>
        </w:rPr>
        <w:t xml:space="preserve"> language and semantic processing </w:t>
      </w:r>
      <w:r w:rsidR="00446BF6"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"10.1016/S0364-0213(99)00014-2", "ISBN" : "0364-0213", "ISSN" : "03640213", "abstract" : "Theories of language production have long been expressed as connectionist models. We outline the issues and challenges that must be addressed by connectionist models of lexical access and grammatical encoding, and review three recent models. The models illustrate the value of an interactive activation approach to lexical access in production, the need for sequential output in both phonological and grammatical encoding, and the potential for accounting for structural effects on errors and structural priming from learning. ", "author" : [ { "dropping-particle" : "", "family" : "Dell", "given" : "G S", "non-dropping-particle" : "", "parse-names" : false, "suffix" : "" }, { "dropping-particle" : "", "family" : "Chang", "given" : "F", "non-dropping-particle" : "", "parse-names" : false, "suffix" : "" }, { "dropping-particle" : "", "family" : "Griffiths", "given" : "Z M", "non-dropping-particle" : "", "parse-names" : false, "suffix" : "" } ], "container-title" : "Cognitive Science", "id" : "ITEM-1", "issue" : "4", "issued" : { "date-parts" : [ [ "1999" ] ] }, "page" : "517-542", "title" : "Connectionist models of language production: lexical access and grammatical encoding", "type" : "article-journal", "volume" : "23" }, "uris" : [ "http://www.mendeley.com/documents/?uuid=cce3b643-90c1-448b-8a83-0d784a5ce437" ] }, { "id" : "ITEM-2", "itemData" : { "DOI" : "10.1080/01690960050119661", "ISBN" : "0169-0965", "ISSN" : "0169-0965", "PMID" : "4429042", "abstract" : "The current article reports on 2 simulations designed to evaluate whether the existence of morphological priming in the absence of semantic similarity in morphologically rich languages is inconsistent with a distributed connectionist approach to morphology. A common set of primes and targets, ranging in transparency, were embedded among a larger set of words that were either transparent or opaque, forming 2 artificial languages: a morphologically rich language analogous to Hebrew, and a morphologically impoverished language analogous to English. A network was then trained to map orthography to semantics for either language, and then tested for priming. Both languages yielded morphological priming for the more transparent targets, but priming extended to semantically opaque targets only in the rich language. The results suggest that non-semantic morphological priming, is, in fact, compatible with the connectionist approach but that its occurrence is predicted to depend on the degree of morphological richness of the language. (PsycINFO Database Record (c) 2005 APA", "author" : [ { "dropping-particle" : "", "family" : "Plaut", "given" : "David C.", "non-dropping-particle" : "", "parse-names" : false, "suffix" : "" }, { "dropping-particle" : "", "family" : "Gonnerman", "given" : "Laura M.", "non-dropping-particle" : "", "parse-names" : false, "suffix" : "" } ], "container-title" : "Language and Cognitive Processes", "id" : "ITEM-2", "issue" : "4-5", "issued" : { "date-parts" : [ [ "2000" ] ] }, "language" : "English", "note" : "351YW\nTimes Cited:71\nCited References Count:84", "page" : "445-485", "title" : "Are non-semantic morphological effects incompatible with a distributed connectionist approach to lexical processing?", "type" : "article-journal", "volume" : "15" }, "uris" : [ "http://www.mendeley.com/documents/?uuid=e0dc0e02-3439-4c8f-ba95-01cf62ca4a10" ] }, { "id" : "ITEM-3", "itemData" : { "ISSN" : "1364-6613", "author" : [ { "dropping-particle" : "", "family" : "Christiansen", "given" : "Morten H", "non-dropping-particle" : "", "parse-names" : false, "suffix" : "" }, { "dropping-particle" : "", "family" : "Chater", "given" : "Nick", "non-dropping-particle" : "", "parse-names" : false, "suffix" : "" } ], "container-title" : "Trends in Cognitive Sciences", "id" : "ITEM-3", "issue" : "2", "issued" : { "date-parts" : [ [ "2001" ] ] }, "page" : "82-88", "publisher" : "Elsevier", "title" : "Connectionist psycholinguistics: Capturing the empirical data", "type" : "article-journal", "volume" : "5" }, "uris" : [ "http://www.mendeley.com/documents/?uuid=cffc1f90-afc8-46f7-89a4-8ffb842f0714" ] } ], "mendeley" : { "formattedCitation" : "(Christiansen and Chater, 2001; Dell et al., 1999; Plaut and Gonnerman, 2000)", "manualFormatting" : "(Dell et al. 1999; Plaut and Gonnerman 2000; Christiansen and Chater 2001)", "plainTextFormattedCitation" : "(Christiansen and Chater, 2001; Dell et al., 1999; Plaut and Gonnerman, 2000)", "previouslyFormattedCitation" : "(Christiansen and Chater, 2001; Dell et al., 1999; Plaut and Gonnerman, 2000)" }, "properties" : {  }, "schema" : "https://github.com/citation-style-language/schema/raw/master/csl-citation.json" }</w:instrText>
      </w:r>
      <w:r w:rsidR="00446BF6" w:rsidRPr="007C17A6">
        <w:rPr>
          <w:rFonts w:ascii="Times New Roman" w:hAnsi="Times New Roman" w:cs="Times New Roman"/>
          <w:sz w:val="24"/>
          <w:szCs w:val="24"/>
        </w:rPr>
        <w:fldChar w:fldCharType="separate"/>
      </w:r>
      <w:r w:rsidR="00446BF6" w:rsidRPr="007C17A6">
        <w:rPr>
          <w:rFonts w:ascii="Times New Roman" w:hAnsi="Times New Roman" w:cs="Times New Roman"/>
          <w:noProof/>
          <w:color w:val="000000" w:themeColor="text1"/>
          <w:sz w:val="24"/>
          <w:szCs w:val="24"/>
          <w:lang w:val="en-GB"/>
        </w:rPr>
        <w:t>(Dell et al. 1999; Plaut and Gonnerman 200</w:t>
      </w:r>
      <w:r w:rsidR="007564B8" w:rsidRPr="007C17A6">
        <w:rPr>
          <w:rFonts w:ascii="Times New Roman" w:hAnsi="Times New Roman" w:cs="Times New Roman"/>
          <w:noProof/>
          <w:color w:val="000000" w:themeColor="text1"/>
          <w:sz w:val="24"/>
          <w:szCs w:val="24"/>
          <w:lang w:val="en-GB"/>
        </w:rPr>
        <w:t>0; Christiansen and Chater 2001</w:t>
      </w:r>
      <w:r w:rsidR="00446BF6" w:rsidRPr="007C17A6">
        <w:rPr>
          <w:rFonts w:ascii="Times New Roman" w:hAnsi="Times New Roman" w:cs="Times New Roman"/>
          <w:noProof/>
          <w:color w:val="000000" w:themeColor="text1"/>
          <w:sz w:val="24"/>
          <w:szCs w:val="24"/>
          <w:lang w:val="en-GB"/>
        </w:rPr>
        <w:t>)</w:t>
      </w:r>
      <w:r w:rsidR="00446BF6" w:rsidRPr="007C17A6">
        <w:rPr>
          <w:rFonts w:ascii="Times New Roman" w:hAnsi="Times New Roman" w:cs="Times New Roman"/>
          <w:sz w:val="24"/>
          <w:szCs w:val="24"/>
        </w:rPr>
        <w:fldChar w:fldCharType="end"/>
      </w:r>
      <w:r w:rsidR="00D050D1" w:rsidRPr="007C17A6">
        <w:rPr>
          <w:rFonts w:ascii="Times New Roman" w:hAnsi="Times New Roman" w:cs="Times New Roman"/>
          <w:sz w:val="24"/>
          <w:szCs w:val="24"/>
        </w:rPr>
        <w:t>,</w:t>
      </w:r>
      <w:r w:rsidR="00446BF6" w:rsidRPr="007C17A6">
        <w:rPr>
          <w:rFonts w:ascii="Times New Roman" w:hAnsi="Times New Roman" w:cs="Times New Roman"/>
          <w:sz w:val="24"/>
          <w:szCs w:val="24"/>
        </w:rPr>
        <w:fldChar w:fldCharType="begin" w:fldLock="1"/>
      </w:r>
      <w:r w:rsidR="00446BF6" w:rsidRPr="007C17A6">
        <w:rPr>
          <w:rFonts w:ascii="Times New Roman" w:hAnsi="Times New Roman" w:cs="Times New Roman"/>
          <w:sz w:val="24"/>
          <w:szCs w:val="24"/>
        </w:rPr>
        <w:instrText>8314b49c-88e4-3f2b-a85d-3a8c2e19f3ee</w:instrText>
      </w:r>
      <w:r w:rsidR="00446BF6" w:rsidRPr="007C17A6">
        <w:rPr>
          <w:rFonts w:ascii="Times New Roman" w:hAnsi="Times New Roman" w:cs="Times New Roman"/>
          <w:sz w:val="24"/>
          <w:szCs w:val="24"/>
        </w:rPr>
        <w:fldChar w:fldCharType="separate"/>
      </w:r>
      <w:r w:rsidR="00446BF6" w:rsidRPr="007C17A6">
        <w:rPr>
          <w:rFonts w:ascii="Times New Roman" w:hAnsi="Times New Roman" w:cs="Times New Roman"/>
          <w:noProof/>
          <w:sz w:val="24"/>
          <w:szCs w:val="24"/>
        </w:rPr>
        <w:t>(Christiansen and Chater 2001b)</w:t>
      </w:r>
      <w:r w:rsidR="00446BF6" w:rsidRPr="007C17A6">
        <w:rPr>
          <w:rFonts w:ascii="Times New Roman" w:hAnsi="Times New Roman" w:cs="Times New Roman"/>
          <w:sz w:val="24"/>
          <w:szCs w:val="24"/>
        </w:rPr>
        <w:fldChar w:fldCharType="end"/>
      </w:r>
      <w:r w:rsidRPr="007C17A6">
        <w:rPr>
          <w:rFonts w:ascii="Times New Roman" w:hAnsi="Times New Roman" w:cs="Times New Roman"/>
          <w:sz w:val="24"/>
          <w:szCs w:val="24"/>
        </w:rPr>
        <w:fldChar w:fldCharType="begin" w:fldLock="1"/>
      </w:r>
      <w:r w:rsidR="00446BF6" w:rsidRPr="007C17A6">
        <w:rPr>
          <w:rFonts w:ascii="Times New Roman" w:hAnsi="Times New Roman" w:cs="Times New Roman"/>
          <w:sz w:val="24"/>
          <w:szCs w:val="24"/>
        </w:rPr>
        <w:instrText>ros.tomasello@gmail.com@www.mendeley.com</w:instrText>
      </w:r>
      <w:r w:rsidRPr="007C17A6">
        <w:rPr>
          <w:rFonts w:ascii="Times New Roman" w:hAnsi="Times New Roman" w:cs="Times New Roman"/>
          <w:sz w:val="24"/>
          <w:szCs w:val="24"/>
        </w:rPr>
        <w:fldChar w:fldCharType="separate"/>
      </w:r>
      <w:bookmarkStart w:id="36" w:name="__Fieldmark__261_1687356023"/>
      <w:r w:rsidRPr="007C17A6">
        <w:rPr>
          <w:rFonts w:ascii="Times New Roman" w:hAnsi="Times New Roman" w:cs="Times New Roman"/>
          <w:noProof/>
          <w:color w:val="000000" w:themeColor="text1"/>
          <w:sz w:val="24"/>
          <w:szCs w:val="24"/>
          <w:lang w:val="en-GB"/>
        </w:rPr>
        <w:t>(</w:t>
      </w:r>
      <w:bookmarkStart w:id="37" w:name="__Fieldmark__535_582625014"/>
      <w:bookmarkStart w:id="38" w:name="__Fieldmark__272_531023477"/>
      <w:bookmarkStart w:id="39" w:name="__Fieldmark__266_2073936654"/>
      <w:r w:rsidRPr="007C17A6">
        <w:rPr>
          <w:rFonts w:ascii="Times New Roman" w:hAnsi="Times New Roman" w:cs="Times New Roman"/>
          <w:noProof/>
          <w:color w:val="000000" w:themeColor="text1"/>
          <w:sz w:val="24"/>
          <w:szCs w:val="24"/>
          <w:lang w:val="en-GB"/>
        </w:rPr>
        <w:t>Dell et al. 1999; Plaut and Gonnerman 2000; Christiansen and Chater 2001)</w:t>
      </w:r>
      <w:r w:rsidRPr="007C17A6">
        <w:rPr>
          <w:rFonts w:ascii="Times New Roman" w:hAnsi="Times New Roman" w:cs="Times New Roman"/>
          <w:sz w:val="24"/>
          <w:szCs w:val="24"/>
        </w:rPr>
        <w:fldChar w:fldCharType="end"/>
      </w:r>
      <w:bookmarkEnd w:id="36"/>
      <w:bookmarkEnd w:id="37"/>
      <w:bookmarkEnd w:id="38"/>
      <w:bookmarkEnd w:id="39"/>
      <w:r w:rsidRPr="007C17A6">
        <w:rPr>
          <w:rFonts w:ascii="Times New Roman" w:hAnsi="Times New Roman" w:cs="Times New Roman"/>
          <w:color w:val="000000" w:themeColor="text1"/>
          <w:sz w:val="24"/>
          <w:szCs w:val="24"/>
          <w:lang w:val="en-GB"/>
        </w:rPr>
        <w:t xml:space="preserve"> </w:t>
      </w:r>
      <w:r w:rsidRPr="007C17A6">
        <w:rPr>
          <w:rFonts w:ascii="Times New Roman" w:hAnsi="Times New Roman" w:cs="Times New Roman"/>
          <w:noProof/>
          <w:color w:val="000000" w:themeColor="text1"/>
          <w:sz w:val="24"/>
          <w:szCs w:val="24"/>
          <w:lang w:val="en-GB"/>
        </w:rPr>
        <w:t>but</w:t>
      </w:r>
      <w:r w:rsidRPr="007C17A6">
        <w:rPr>
          <w:rFonts w:ascii="Times New Roman" w:hAnsi="Times New Roman" w:cs="Times New Roman"/>
          <w:color w:val="000000" w:themeColor="text1"/>
          <w:sz w:val="24"/>
          <w:szCs w:val="24"/>
          <w:lang w:val="en-GB"/>
        </w:rPr>
        <w:t xml:space="preserve"> most of them do not attempt to replicate realistic properties of the human brain. </w:t>
      </w:r>
      <w:r w:rsidR="008B37A3" w:rsidRPr="007C17A6">
        <w:rPr>
          <w:rFonts w:ascii="Times New Roman" w:hAnsi="Times New Roman" w:cs="Times New Roman"/>
          <w:color w:val="000000" w:themeColor="text1"/>
          <w:sz w:val="24"/>
          <w:szCs w:val="24"/>
          <w:lang w:val="en-GB"/>
        </w:rPr>
        <w:t>Although recent simulation studies</w:t>
      </w:r>
      <w:r w:rsidR="00BE3A26" w:rsidRPr="007C17A6">
        <w:rPr>
          <w:rFonts w:ascii="Times New Roman" w:hAnsi="Times New Roman" w:cs="Times New Roman"/>
          <w:color w:val="000000" w:themeColor="text1"/>
          <w:sz w:val="24"/>
          <w:szCs w:val="24"/>
          <w:lang w:val="en-GB"/>
        </w:rPr>
        <w:t xml:space="preserve"> </w:t>
      </w:r>
      <w:r w:rsidR="008B37A3" w:rsidRPr="007C17A6">
        <w:rPr>
          <w:rFonts w:ascii="Times New Roman" w:hAnsi="Times New Roman" w:cs="Times New Roman"/>
          <w:sz w:val="24"/>
          <w:szCs w:val="24"/>
          <w:lang w:val="en-GB"/>
        </w:rPr>
        <w:t xml:space="preserve">included neuroanatomical information to model semantic processing, they have used learning mechanism (i.e. back-propagation - </w:t>
      </w:r>
      <w:r w:rsidR="008B37A3" w:rsidRPr="007C17A6">
        <w:rPr>
          <w:rFonts w:ascii="Times New Roman" w:hAnsi="Times New Roman" w:cs="Times New Roman"/>
          <w:sz w:val="24"/>
          <w:szCs w:val="24"/>
          <w:lang w:val="en-GB"/>
        </w:rPr>
        <w:fldChar w:fldCharType="begin" w:fldLock="1"/>
      </w:r>
      <w:r w:rsidR="007F4106" w:rsidRPr="007C17A6">
        <w:rPr>
          <w:rFonts w:ascii="Times New Roman" w:hAnsi="Times New Roman" w:cs="Times New Roman"/>
          <w:sz w:val="24"/>
          <w:szCs w:val="24"/>
          <w:lang w:val="en-GB"/>
        </w:rPr>
        <w:instrText>ADDIN CSL_CITATION { "citationItems" : [ { "id" : "ITEM-1", "itemData" : { "DOI" : "10.1038/s41562-016-0039", "ISBN" : "4156201600", "ISSN" : "2397-3374", "author" : [ { "dropping-particle" : "", "family" : "Chen", "given" : "Lang", "non-dropping-particle" : "", "parse-names" : false, "suffix" : "" }, { "dropping-particle" : "", "family" : "Lambon Ralph", "given" : "Matthew A.", "non-dropping-particle" : "", "parse-names" : false, "suffix" : "" }, { "dropping-particle" : "", "family" : "Rogers", "given" : "Timothy T.", "non-dropping-particle" : "", "parse-names" : false, "suffix" : "" } ], "container-title" : "Nature Human Behaviour", "id" : "ITEM-1", "issue" : "March", "issued" : { "date-parts" : [ [ "2017" ] ] }, "page" : "0039", "title" : "A unified model of human semantic knowledge and its disorders", "type" : "article-journal", "volume" : "1" }, "uris" : [ "http://www.mendeley.com/documents/?uuid=a4eff1ff-4ec3-4bad-97bb-f84417a5949b" ] }, { "id" : "ITEM-2", "itemData" : { "DOI" : "10.1016/j.neuron.2011.09.013", "ISBN" : "0896-6273", "ISSN" : "08966273", "PMID" : "22017995", "abstract" : "Traditional neurological models of language were based on a single neural pathway (the dorsal pathway underpinned by the arcuate fasciculus). Contemporary neuroscience indicates that anterior temporal regions and the \" ventral\" language pathway also make a significant contribution, yet there is no computationally-implemented model of the dual pathway, nor any synthesis of normal and aphasic behavior. The \" Lichtheim 2\" model was implemented by developing a new variety of computational model which reproduces and explains normal and patient data but also incorporates neuroanatomical information into its architecture. By bridging the \" mind-brain\" gap in this way, the resultant \" neurocomputational\" model provides a unique opportunity to explore the relationship between lesion location and behavioral deficits, and to provide a platform for simulating functional neuroimaging data. \u00a9 2011 Elsevier Inc.", "author" : [ { "dropping-particle" : "", "family" : "Ueno", "given" : "Taiji", "non-dropping-particle" : "", "parse-names" : false, "suffix" : "" }, { "dropping-particle" : "", "family" : "Saito", "given" : "Satoru", "non-dropping-particle" : "", "parse-names" : false, "suffix" : "" }, { "dropping-particle" : "", "family" : "Rogers", "given" : "Timothy T.", "non-dropping-particle" : "", "parse-names" : false, "suffix" : "" }, { "dropping-particle" : "", "family" : "Lambon Ralph", "given" : "Matthew A.", "non-dropping-particle" : "", "parse-names" : false, "suffix" : "" } ], "container-title" : "Neuron", "edition" : "2011/10/25", "id" : "ITEM-2", "issue" : "2", "issued" : { "date-parts" : [ [ "2011" ] ] }, "language" : "eng", "note" : "Ueno, Taiji\nSaito, Satoru\nRogers, Timothy T\nLambon Ralph, Matthew A\nG0501632/Medical Research Council/United Kingdom\nNeuron. 2011 Oct 20;72(2):385-96. doi: 10.1016/j.neuron.2011.09.013.", "page" : "385-396", "title" : "Lichtheim 2: Synthesizing aphasia and the neural basis of language in a neurocomputational model of the dual dorsal-ventral language pathways", "type" : "article-journal", "volume" : "72" }, "uris" : [ "http://www.mendeley.com/documents/?uuid=fe24341e-170d-45cc-b90c-f8f1ad2f5e4d" ] } ], "mendeley" : { "formattedCitation" : "(Chen et al., 2017; Ueno et al., 2011)", "manualFormatting" : "Chen et al., 2017; Ueno et al., 2011)", "plainTextFormattedCitation" : "(Chen et al., 2017; Ueno et al., 2011)", "previouslyFormattedCitation" : "(Chen et al., 2017; Ueno et al., 2011)" }, "properties" : {  }, "schema" : "https://github.com/citation-style-language/schema/raw/master/csl-citation.json" }</w:instrText>
      </w:r>
      <w:r w:rsidR="008B37A3" w:rsidRPr="007C17A6">
        <w:rPr>
          <w:rFonts w:ascii="Times New Roman" w:hAnsi="Times New Roman" w:cs="Times New Roman"/>
          <w:sz w:val="24"/>
          <w:szCs w:val="24"/>
          <w:lang w:val="en-GB"/>
        </w:rPr>
        <w:fldChar w:fldCharType="separate"/>
      </w:r>
      <w:r w:rsidR="008B37A3" w:rsidRPr="007C17A6">
        <w:rPr>
          <w:rFonts w:ascii="Times New Roman" w:hAnsi="Times New Roman" w:cs="Times New Roman"/>
          <w:noProof/>
          <w:sz w:val="24"/>
          <w:szCs w:val="24"/>
          <w:lang w:val="en-GB"/>
        </w:rPr>
        <w:t>Chen et al., 2017; Ueno et al., 2011)</w:t>
      </w:r>
      <w:r w:rsidR="008B37A3" w:rsidRPr="007C17A6">
        <w:rPr>
          <w:rFonts w:ascii="Times New Roman" w:hAnsi="Times New Roman" w:cs="Times New Roman"/>
          <w:sz w:val="24"/>
          <w:szCs w:val="24"/>
          <w:lang w:val="en-GB"/>
        </w:rPr>
        <w:fldChar w:fldCharType="end"/>
      </w:r>
      <w:r w:rsidR="00A81FE9" w:rsidRPr="007C17A6">
        <w:rPr>
          <w:rFonts w:ascii="Times New Roman" w:hAnsi="Times New Roman" w:cs="Times New Roman"/>
          <w:sz w:val="24"/>
          <w:szCs w:val="24"/>
          <w:lang w:val="en-GB"/>
        </w:rPr>
        <w:t>,</w:t>
      </w:r>
      <w:r w:rsidR="00BE3A26" w:rsidRPr="007C17A6">
        <w:rPr>
          <w:rFonts w:ascii="Times New Roman" w:hAnsi="Times New Roman" w:cs="Times New Roman"/>
          <w:color w:val="000000" w:themeColor="text1"/>
          <w:sz w:val="24"/>
          <w:szCs w:val="24"/>
          <w:lang w:val="en-GB"/>
        </w:rPr>
        <w:t xml:space="preserve"> </w:t>
      </w:r>
      <w:r w:rsidR="00A81FE9" w:rsidRPr="007C17A6">
        <w:rPr>
          <w:rFonts w:ascii="Times New Roman" w:hAnsi="Times New Roman" w:cs="Times New Roman"/>
          <w:color w:val="000000" w:themeColor="text1"/>
          <w:sz w:val="24"/>
          <w:szCs w:val="24"/>
          <w:lang w:val="en-GB"/>
        </w:rPr>
        <w:t xml:space="preserve">which were </w:t>
      </w:r>
      <w:r w:rsidR="008B37A3" w:rsidRPr="007C17A6">
        <w:rPr>
          <w:rFonts w:ascii="Times New Roman" w:hAnsi="Times New Roman" w:cs="Times New Roman"/>
          <w:sz w:val="24"/>
          <w:szCs w:val="24"/>
          <w:lang w:val="en-GB"/>
        </w:rPr>
        <w:t>argued to be</w:t>
      </w:r>
      <w:r w:rsidR="00A81FE9" w:rsidRPr="007C17A6">
        <w:rPr>
          <w:rFonts w:ascii="Times New Roman" w:hAnsi="Times New Roman" w:cs="Times New Roman"/>
          <w:sz w:val="24"/>
          <w:szCs w:val="24"/>
          <w:lang w:val="en-GB"/>
        </w:rPr>
        <w:t xml:space="preserve"> biological</w:t>
      </w:r>
      <w:r w:rsidR="008B37A3" w:rsidRPr="007C17A6">
        <w:rPr>
          <w:rFonts w:ascii="Times New Roman" w:hAnsi="Times New Roman" w:cs="Times New Roman"/>
          <w:sz w:val="24"/>
          <w:szCs w:val="24"/>
          <w:lang w:val="en-GB"/>
        </w:rPr>
        <w:t xml:space="preserve"> implausible </w:t>
      </w:r>
      <w:r w:rsidR="008B37A3" w:rsidRPr="007C17A6">
        <w:rPr>
          <w:rFonts w:ascii="Times New Roman" w:hAnsi="Times New Roman" w:cs="Times New Roman"/>
          <w:sz w:val="24"/>
          <w:szCs w:val="24"/>
          <w:lang w:val="en-GB"/>
        </w:rPr>
        <w:fldChar w:fldCharType="begin" w:fldLock="1"/>
      </w:r>
      <w:r w:rsidR="007F4106" w:rsidRPr="007C17A6">
        <w:rPr>
          <w:rFonts w:ascii="Times New Roman" w:hAnsi="Times New Roman" w:cs="Times New Roman"/>
          <w:sz w:val="24"/>
          <w:szCs w:val="24"/>
          <w:lang w:val="en-GB"/>
        </w:rPr>
        <w:instrText>ADDIN CSL_CITATION { "citationItems" : [ { "id" : "ITEM-1", "itemData" : { "ISBN" : "0027-8424 (Print)\r0027-8424 (Linking)", "ISSN" : "0027-8424", "PMID" : "1903542", "abstract" : "Many recent studies have used artificial neural network algorithms to model how the brain might process information. However, back-propagation learning, the method that is generally used to train these networks, is distinctly \"unbiological.\" We describe here a more biologically plausible learning rule, using reinforcement learning, which we have applied to the problem of how area 7a in the posterior parietal cortex of monkeys might represent visual space in head-centered coordinates. The network behaves similarly to networks trained by using back-propagation and to neurons recorded in area 7a. These results show that a neural network does not require back propagation to acquire biologically interesting properties.", "author" : [ { "dropping-particle" : "", "family" : "Mazzoni", "given" : "P.", "non-dropping-particle" : "", "parse-names" : false, "suffix" : "" }, { "dropping-particle" : "", "family" : "Andersen", "given" : "R. A.", "non-dropping-particle" : "", "parse-names" : false, "suffix" : "" }, { "dropping-particle" : "", "family" : "Jordan", "given" : "M. I.", "non-dropping-particle" : "", "parse-names" : false, "suffix" : "" } ], "container-title" : "Proceedings of the National Academy of Sciences", "edition" : "1991/05/15", "id" : "ITEM-1", "issue" : "10", "issued" : { "date-parts" : [ [ "1991" ] ] }, "language" : "eng", "note" : "Mazzoni, P\nAndersen, R A\nJordan, M I\n5T32GM07753-10/GM/NIGMS NIH HHS/\nEY05522/EY/NEI NIH HHS/\nT32 GM007753/GM/NIGMS NIH HHS/\nProc Natl Acad Sci U S A. 1991 May 15;88(10):4433-7.", "page" : "4433-4437", "title" : "A more biologically plausible learning rule for neural networks.", "type" : "article-journal", "volume" : "88" }, "uris" : [ "http://www.mendeley.com/documents/?uuid=82c30263-3bc0-4a28-ab08-a441ec97277a" ] }, { "id" : "ITEM-2", "itemData" : { "DOI" : "10.1016/S1364-6613(98)01241-8", "ISBN" : "1364-6613", "ISSN" : "13646613", "PMID" : "21227277", "abstract" : "This review describes and motivates six principles for computational cognitive neuroscience models: biological realism, distributed representations, inhibitory competition, bidirectional activation propagation, error-driven task learning, and Hebbian model learning. Although these principles are supported by a number of cognitive, computational and biological motivations, the prototypical neural-network model (a feedforward back-propagation network) incorporates only two of them, and no widely used model incorporates all of them. It is argued here that these principles should be integrated into a coherent overall framework, and some potential synergies and conflicts in doing so are discussed.", "author" : [ { "dropping-particle" : "", "family" : "O'Reilly", "given" : "Randall C.", "non-dropping-particle" : "", "parse-names" : false, "suffix" : "" } ], "container-title" : "Trends in Cognitive Sciences", "id" : "ITEM-2", "issue" : "11", "issued" : { "date-parts" : [ [ "1998" ] ] }, "page" : "455-462", "title" : "Six principles for biologically based computational models of cortical cognition", "type" : "article-journal", "volume" : "2" }, "uris" : [ "http://www.mendeley.com/documents/?uuid=90ab6589-b6e1-4eb0-9b51-cfb24efa684e" ] } ], "mendeley" : { "formattedCitation" : "(Mazzoni et al., 1991; O\u2019Reilly, 1998)", "plainTextFormattedCitation" : "(Mazzoni et al., 1991; O\u2019Reilly, 1998)", "previouslyFormattedCitation" : "(Mazzoni et al., 1991; O\u2019Reilly, 1998)" }, "properties" : {  }, "schema" : "https://github.com/citation-style-language/schema/raw/master/csl-citation.json" }</w:instrText>
      </w:r>
      <w:r w:rsidR="008B37A3" w:rsidRPr="007C17A6">
        <w:rPr>
          <w:rFonts w:ascii="Times New Roman" w:hAnsi="Times New Roman" w:cs="Times New Roman"/>
          <w:sz w:val="24"/>
          <w:szCs w:val="24"/>
          <w:lang w:val="en-GB"/>
        </w:rPr>
        <w:fldChar w:fldCharType="separate"/>
      </w:r>
      <w:r w:rsidR="008B37A3" w:rsidRPr="007C17A6">
        <w:rPr>
          <w:rFonts w:ascii="Times New Roman" w:hAnsi="Times New Roman" w:cs="Times New Roman"/>
          <w:noProof/>
          <w:sz w:val="24"/>
          <w:szCs w:val="24"/>
          <w:lang w:val="en-GB"/>
        </w:rPr>
        <w:t>(Mazzoni et al., 1991; O’Reilly, 1998)</w:t>
      </w:r>
      <w:r w:rsidR="008B37A3" w:rsidRPr="007C17A6">
        <w:rPr>
          <w:rFonts w:ascii="Times New Roman" w:hAnsi="Times New Roman" w:cs="Times New Roman"/>
          <w:sz w:val="24"/>
          <w:szCs w:val="24"/>
          <w:lang w:val="en-GB"/>
        </w:rPr>
        <w:fldChar w:fldCharType="end"/>
      </w:r>
      <w:r w:rsidR="0083266B" w:rsidRPr="007C17A6">
        <w:rPr>
          <w:rFonts w:ascii="Times New Roman" w:hAnsi="Times New Roman" w:cs="Times New Roman"/>
          <w:sz w:val="24"/>
          <w:szCs w:val="24"/>
          <w:lang w:val="en-GB"/>
        </w:rPr>
        <w:t>. Furthermore, these studies</w:t>
      </w:r>
      <w:r w:rsidR="008B37A3" w:rsidRPr="007C17A6">
        <w:rPr>
          <w:rFonts w:ascii="Times New Roman" w:hAnsi="Times New Roman" w:cs="Times New Roman"/>
          <w:sz w:val="24"/>
          <w:szCs w:val="24"/>
          <w:lang w:val="en-GB"/>
        </w:rPr>
        <w:t xml:space="preserve"> </w:t>
      </w:r>
      <w:r w:rsidR="008B37A3" w:rsidRPr="007C17A6">
        <w:rPr>
          <w:rFonts w:ascii="Times New Roman" w:hAnsi="Times New Roman" w:cs="Times New Roman"/>
          <w:noProof/>
          <w:sz w:val="24"/>
          <w:szCs w:val="24"/>
          <w:lang w:val="en-GB"/>
        </w:rPr>
        <w:t>ha</w:t>
      </w:r>
      <w:r w:rsidR="0083266B" w:rsidRPr="007C17A6">
        <w:rPr>
          <w:rFonts w:ascii="Times New Roman" w:hAnsi="Times New Roman" w:cs="Times New Roman"/>
          <w:noProof/>
          <w:sz w:val="24"/>
          <w:szCs w:val="24"/>
          <w:lang w:val="en-GB"/>
        </w:rPr>
        <w:t>ve</w:t>
      </w:r>
      <w:r w:rsidR="008B37A3" w:rsidRPr="007C17A6">
        <w:rPr>
          <w:rFonts w:ascii="Times New Roman" w:hAnsi="Times New Roman" w:cs="Times New Roman"/>
          <w:sz w:val="24"/>
          <w:szCs w:val="24"/>
          <w:lang w:val="en-GB"/>
        </w:rPr>
        <w:t xml:space="preserve"> incorporated just one semantic hub area in the anterior temporal lobe </w:t>
      </w:r>
      <w:r w:rsidR="00812610" w:rsidRPr="007C17A6">
        <w:rPr>
          <w:rFonts w:ascii="Times New Roman" w:hAnsi="Times New Roman" w:cs="Times New Roman"/>
          <w:sz w:val="24"/>
          <w:szCs w:val="24"/>
          <w:lang w:val="en-GB"/>
        </w:rPr>
        <w:t xml:space="preserve">by </w:t>
      </w:r>
      <w:r w:rsidR="008B37A3" w:rsidRPr="007C17A6">
        <w:rPr>
          <w:rFonts w:ascii="Times New Roman" w:hAnsi="Times New Roman" w:cs="Times New Roman"/>
          <w:sz w:val="24"/>
          <w:szCs w:val="24"/>
          <w:lang w:val="en-GB"/>
        </w:rPr>
        <w:t>not integrating all the evidence about the relevant brain areas for semantic processing described above.</w:t>
      </w:r>
      <w:r w:rsidR="008B37A3" w:rsidRPr="007C17A6">
        <w:rPr>
          <w:rFonts w:ascii="Times New Roman" w:hAnsi="Times New Roman" w:cs="Times New Roman"/>
          <w:color w:val="000000" w:themeColor="text1"/>
          <w:sz w:val="24"/>
          <w:szCs w:val="24"/>
          <w:lang w:val="en-GB"/>
        </w:rPr>
        <w:t xml:space="preserve"> </w:t>
      </w:r>
      <w:r w:rsidR="00F5534E" w:rsidRPr="007C17A6">
        <w:rPr>
          <w:rFonts w:ascii="Times New Roman" w:hAnsi="Times New Roman" w:cs="Times New Roman"/>
          <w:sz w:val="24"/>
          <w:szCs w:val="24"/>
          <w:lang w:val="en-GB"/>
        </w:rPr>
        <w:t>A</w:t>
      </w:r>
      <w:r w:rsidRPr="007C17A6">
        <w:rPr>
          <w:rFonts w:ascii="Times New Roman" w:hAnsi="Times New Roman" w:cs="Times New Roman"/>
          <w:color w:val="000000" w:themeColor="text1"/>
          <w:sz w:val="24"/>
          <w:szCs w:val="24"/>
          <w:lang w:val="en-GB"/>
        </w:rPr>
        <w:t xml:space="preserve"> recent </w:t>
      </w:r>
      <w:r w:rsidRPr="007C17A6">
        <w:rPr>
          <w:rFonts w:ascii="Times New Roman" w:hAnsi="Times New Roman" w:cs="Times New Roman"/>
          <w:noProof/>
          <w:color w:val="000000" w:themeColor="text1"/>
          <w:sz w:val="24"/>
          <w:szCs w:val="24"/>
          <w:lang w:val="en-GB"/>
        </w:rPr>
        <w:t>mode</w:t>
      </w:r>
      <w:r w:rsidR="0052370F" w:rsidRPr="007C17A6">
        <w:rPr>
          <w:rFonts w:ascii="Times New Roman" w:hAnsi="Times New Roman" w:cs="Times New Roman"/>
          <w:noProof/>
          <w:color w:val="000000" w:themeColor="text1"/>
          <w:sz w:val="24"/>
          <w:szCs w:val="24"/>
          <w:lang w:val="en-GB"/>
        </w:rPr>
        <w:t>l</w:t>
      </w:r>
      <w:r w:rsidRPr="007C17A6">
        <w:rPr>
          <w:rFonts w:ascii="Times New Roman" w:hAnsi="Times New Roman" w:cs="Times New Roman"/>
          <w:noProof/>
          <w:color w:val="000000" w:themeColor="text1"/>
          <w:sz w:val="24"/>
          <w:szCs w:val="24"/>
          <w:lang w:val="en-GB"/>
        </w:rPr>
        <w:t>ling</w:t>
      </w:r>
      <w:r w:rsidRPr="007C17A6">
        <w:rPr>
          <w:rFonts w:ascii="Times New Roman" w:hAnsi="Times New Roman" w:cs="Times New Roman"/>
          <w:color w:val="000000" w:themeColor="text1"/>
          <w:sz w:val="24"/>
          <w:szCs w:val="24"/>
          <w:lang w:val="en-GB"/>
        </w:rPr>
        <w:t xml:space="preserve"> effort incorporates neuroanatomical structure and connectivity into models of semantic processing</w:t>
      </w:r>
      <w:r w:rsidR="00B126F2" w:rsidRPr="007C17A6">
        <w:rPr>
          <w:rFonts w:ascii="Times New Roman" w:hAnsi="Times New Roman" w:cs="Times New Roman"/>
          <w:color w:val="000000" w:themeColor="text1"/>
          <w:sz w:val="24"/>
          <w:szCs w:val="24"/>
          <w:lang w:val="en-GB"/>
        </w:rPr>
        <w:t xml:space="preserve"> </w:t>
      </w:r>
      <w:r w:rsidR="00B126F2" w:rsidRPr="007C17A6">
        <w:rPr>
          <w:rFonts w:ascii="Times New Roman" w:hAnsi="Times New Roman" w:cs="Times New Roman"/>
          <w:color w:val="000000" w:themeColor="text1"/>
          <w:sz w:val="24"/>
          <w:szCs w:val="24"/>
          <w:lang w:val="en-GB"/>
        </w:rPr>
        <w:fldChar w:fldCharType="begin" w:fldLock="1"/>
      </w:r>
      <w:r w:rsidR="007F4106" w:rsidRPr="007C17A6">
        <w:rPr>
          <w:rFonts w:ascii="Times New Roman" w:hAnsi="Times New Roman" w:cs="Times New Roman"/>
          <w:color w:val="000000" w:themeColor="text1"/>
          <w:sz w:val="24"/>
          <w:szCs w:val="24"/>
          <w:lang w:val="en-GB"/>
        </w:rPr>
        <w:instrText>ADDIN CSL_CITATION { "citationItems" : [ { "id" : "ITEM-1", "itemData" : { "DOI" : "10.1111/ejn.13145", "ISSN" : "14609568", "PMID" : "26660067", "abstract" : "Current neurobiological accounts of language and cognition offer diverging views on the questions of \u2018where\u2019 and \u2018how\u2019 semantic information is stored and processed in the human brain. Neuroimaging data showing consistent activation of different multi-modal areas during word and sentence comprehension suggest that all meanings are processed indistinctively, by a set of general semantic centres or \u2018hubs\u2019. However, words belonging to specific semantic categories selectively activate modality-preferential areas; for example, action-related words spark activity in dorsal motor cortex, whereas object-related ones activate ventral visual areas. The evidence for category-specific and category-general semantic areas begs for a unifying explanation, able to integrate the emergence of both. Here, a neurobiological model offering such an explanation is described. Using a neural architecture replicating anatomical and neurophysiological features of frontal, occipital and temporal cortices, basic aspects of word learning and semantic grounding in action and perception were simulated. As the network underwent training, distributed lexico-semantic circuits spontaneously emerged. These circuits exhibited different cortical distributions that reached into dorsal-motor or ventral-visual areas, reflecting the correlated category-specific sensorimotor patterns that co-occurred during action- or object-related semantic grounding, respectively. Crucially, substantial numbers of neurons of both types of distributed circuits emerged in areas interfacing between modality-preferential regions, i.e. in multimodal connection hubs, which therefore became loci of general semantic binding. By relating neuroanatomical structure and cellular-level learning mechanisms with system-level cognitive function, this model offers a neurobiological account of category-general and category-specific semantic areas based on the different cortical distributions of the underlying semantic circuits.", "author" : [ { "dropping-particle" : "", "family" : "Garagnani", "given" : "Max", "non-dropping-particle" : "", "parse-names" : false, "suffix" : "" }, { "dropping-particle" : "", "family" : "Pulverm\u00fcller", "given" : "Friedemann", "non-dropping-particle" : "", "parse-names" : false, "suffix" : "" } ], "container-title" : "European Journal of Neuroscience", "id" : "ITEM-1", "issue" : "6", "issued" : { "date-parts" : [ [ "2016" ] ] }, "page" : "721-737", "title" : "Conceptual grounding of language in action and perception: A neurocomputational model of the emergence of category specificity and semantic hubs", "type" : "article-journal", "volume" : "43" }, "uris" : [ "http://www.mendeley.com/documents/?uuid=a62ced76-f824-4d5c-b637-089f298a93a8" ] } ], "mendeley" : { "formattedCitation" : "(Garagnani and Pulverm\u00fcller, 2016)", "plainTextFormattedCitation" : "(Garagnani and Pulverm\u00fcller, 2016)", "previouslyFormattedCitation" : "(Garagnani and Pulverm\u00fcller, 2016)" }, "properties" : {  }, "schema" : "https://github.com/citation-style-language/schema/raw/master/csl-citation.json" }</w:instrText>
      </w:r>
      <w:r w:rsidR="00B126F2" w:rsidRPr="007C17A6">
        <w:rPr>
          <w:rFonts w:ascii="Times New Roman" w:hAnsi="Times New Roman" w:cs="Times New Roman"/>
          <w:color w:val="000000" w:themeColor="text1"/>
          <w:sz w:val="24"/>
          <w:szCs w:val="24"/>
          <w:lang w:val="en-GB"/>
        </w:rPr>
        <w:fldChar w:fldCharType="separate"/>
      </w:r>
      <w:r w:rsidR="00C00A10" w:rsidRPr="007C17A6">
        <w:rPr>
          <w:rFonts w:ascii="Times New Roman" w:hAnsi="Times New Roman" w:cs="Times New Roman"/>
          <w:noProof/>
          <w:color w:val="000000" w:themeColor="text1"/>
          <w:sz w:val="24"/>
          <w:szCs w:val="24"/>
          <w:lang w:val="en-GB"/>
        </w:rPr>
        <w:t>(Garagnani and Pulvermüller, 2016)</w:t>
      </w:r>
      <w:r w:rsidR="00B126F2" w:rsidRPr="007C17A6">
        <w:rPr>
          <w:rFonts w:ascii="Times New Roman" w:hAnsi="Times New Roman" w:cs="Times New Roman"/>
          <w:color w:val="000000" w:themeColor="text1"/>
          <w:sz w:val="24"/>
          <w:szCs w:val="24"/>
          <w:lang w:val="en-GB"/>
        </w:rPr>
        <w:fldChar w:fldCharType="end"/>
      </w:r>
      <w:r w:rsidRPr="007C17A6">
        <w:rPr>
          <w:rFonts w:ascii="Times New Roman" w:hAnsi="Times New Roman" w:cs="Times New Roman"/>
          <w:color w:val="000000" w:themeColor="text1"/>
          <w:sz w:val="24"/>
          <w:szCs w:val="24"/>
          <w:lang w:val="en-GB"/>
        </w:rPr>
        <w:t xml:space="preserve">. By meticulously mimicking the general parcellation of cortex into areas, their long-range cortico-cortical connections, features of local connectivity within cortical areas, local and global </w:t>
      </w:r>
      <w:r w:rsidR="00D54BE4" w:rsidRPr="007C17A6">
        <w:rPr>
          <w:rFonts w:ascii="Times New Roman" w:hAnsi="Times New Roman" w:cs="Times New Roman"/>
          <w:color w:val="000000" w:themeColor="text1"/>
          <w:sz w:val="24"/>
          <w:szCs w:val="24"/>
          <w:lang w:val="en-GB"/>
        </w:rPr>
        <w:t>inhibitory</w:t>
      </w:r>
      <w:r w:rsidRPr="007C17A6">
        <w:rPr>
          <w:rFonts w:ascii="Times New Roman" w:hAnsi="Times New Roman" w:cs="Times New Roman"/>
          <w:color w:val="000000" w:themeColor="text1"/>
          <w:sz w:val="24"/>
          <w:szCs w:val="24"/>
          <w:lang w:val="en-GB"/>
        </w:rPr>
        <w:t xml:space="preserve"> mechanisms regulating cortical activity, and realistic neurobiological learning mechanisms, a stepwise approximation to response properties of real brain-internal networks could </w:t>
      </w:r>
      <w:r w:rsidRPr="007C17A6">
        <w:rPr>
          <w:rFonts w:ascii="Times New Roman" w:hAnsi="Times New Roman" w:cs="Times New Roman"/>
          <w:noProof/>
          <w:color w:val="000000" w:themeColor="text1"/>
          <w:sz w:val="24"/>
          <w:szCs w:val="24"/>
          <w:lang w:val="en-GB"/>
        </w:rPr>
        <w:t>be achieved</w:t>
      </w:r>
      <w:r w:rsidRPr="007C17A6">
        <w:rPr>
          <w:rFonts w:ascii="Times New Roman" w:hAnsi="Times New Roman" w:cs="Times New Roman"/>
          <w:color w:val="000000" w:themeColor="text1"/>
          <w:sz w:val="24"/>
          <w:szCs w:val="24"/>
          <w:lang w:val="en-GB"/>
        </w:rPr>
        <w:t>. Still, these previous implementations have fallen short of implementing the complexity of cortico-cortical connectivity and the fine-grained activation dynamics of cortical neurons.</w:t>
      </w:r>
    </w:p>
    <w:p w14:paraId="2C38C521" w14:textId="77777777" w:rsidR="00E740D6" w:rsidRPr="007C17A6" w:rsidRDefault="00E740D6" w:rsidP="00E740D6">
      <w:pPr>
        <w:spacing w:before="120" w:after="120" w:line="240" w:lineRule="auto"/>
        <w:ind w:firstLine="288"/>
        <w:contextualSpacing/>
        <w:jc w:val="both"/>
        <w:rPr>
          <w:rFonts w:ascii="Times New Roman" w:hAnsi="Times New Roman" w:cs="Times New Roman"/>
        </w:rPr>
      </w:pPr>
    </w:p>
    <w:p w14:paraId="3F60D82A" w14:textId="1866D1F0" w:rsidR="00A838DC" w:rsidRPr="007C17A6" w:rsidRDefault="00E5421A" w:rsidP="0077421C">
      <w:pPr>
        <w:spacing w:before="120" w:after="120" w:line="240" w:lineRule="auto"/>
        <w:contextualSpacing/>
        <w:jc w:val="both"/>
        <w:rPr>
          <w:rFonts w:ascii="Times New Roman" w:hAnsi="Times New Roman" w:cs="Times New Roman"/>
          <w:color w:val="000000" w:themeColor="text1"/>
          <w:sz w:val="24"/>
          <w:szCs w:val="24"/>
          <w:lang w:val="en-GB"/>
        </w:rPr>
      </w:pPr>
      <w:r w:rsidRPr="007C17A6">
        <w:rPr>
          <w:rFonts w:ascii="Times New Roman" w:hAnsi="Times New Roman" w:cs="Times New Roman"/>
          <w:color w:val="000000" w:themeColor="text1"/>
          <w:sz w:val="24"/>
          <w:szCs w:val="24"/>
          <w:lang w:val="en-GB"/>
        </w:rPr>
        <w:t xml:space="preserve">Building upon these previous efforts with graded-response neural-network models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"10.1111/ejn.13145", "ISSN" : "14609568", "PMID" : "26660067", "abstract" : "Current neurobiological accounts of language and cognition offer diverging views on the questions of \u2018where\u2019 and \u2018how\u2019 semantic information is stored and processed in the human brain. Neuroimaging data showing consistent activation of different multi-modal areas during word and sentence comprehension suggest that all meanings are processed indistinctively, by a set of general semantic centres or \u2018hubs\u2019. However, words belonging to specific semantic categories selectively activate modality-preferential areas; for example, action-related words spark activity in dorsal motor cortex, whereas object-related ones activate ventral visual areas. The evidence for category-specific and category-general semantic areas begs for a unifying explanation, able to integrate the emergence of both. Here, a neurobiological model offering such an explanation is described. Using a neural architecture replicating anatomical and neurophysiological features of frontal, occipital and temporal cortices, basic aspects of word learning and semantic grounding in action and perception were simulated. As the network underwent training, distributed lexico-semantic circuits spontaneously emerged. These circuits exhibited different cortical distributions that reached into dorsal-motor or ventral-visual areas, reflecting the correlated category-specific sensorimotor patterns that co-occurred during action- or object-related semantic grounding, respectively. Crucially, substantial numbers of neurons of both types of distributed circuits emerged in areas interfacing between modality-preferential regions, i.e. in multimodal connection hubs, which therefore became loci of general semantic binding. By relating neuroanatomical structure and cellular-level learning mechanisms with system-level cognitive function, this model offers a neurobiological account of category-general and category-specific semantic areas based on the different cortical distributions of the underlying semantic circuits.", "author" : [ { "dropping-particle" : "", "family" : "Garagnani", "given" : "Max", "non-dropping-particle" : "", "parse-names" : false, "suffix" : "" }, { "dropping-particle" : "", "family" : "Pulverm\u00fcller", "given" : "Friedemann", "non-dropping-particle" : "", "parse-names" : false, "suffix" : "" } ], "container-title" : "European Journal of Neuroscience", "id" : "ITEM-1", "issue" : "6", "issued" : { "date-parts" : [ [ "2016" ] ] }, "page" : "721-737", "title" : "Conceptual grounding of language in action and perception: A neurocomputational model of the emergence of category specificity and semantic hubs", "type" : "article-journal", "volume" : "43" }, "uris" : [ "http://www.mendeley.com/documents/?uuid=a62ced76-f824-4d5c-b637-089f298a93a8" ] } ], "mendeley" : { "formattedCitation" : "(Garagnani and Pulverm\u00fcller, 2016)", "plainTextFormattedCitation" : "(Garagnani and Pulverm\u00fcller, 2016)", "previouslyFormattedCitation" : "(Garagnani and Pulverm\u00fcller, 2016)" }, "properties" : {  }, "schema" : "https://github.com/citation-style-language/schema/raw/master/csl-citation.json" }</w:instrText>
      </w:r>
      <w:r w:rsidRPr="007C17A6">
        <w:rPr>
          <w:rFonts w:ascii="Times New Roman" w:hAnsi="Times New Roman" w:cs="Times New Roman"/>
        </w:rPr>
        <w:fldChar w:fldCharType="separate"/>
      </w:r>
      <w:bookmarkStart w:id="40" w:name="__Fieldmark__291_1687356023"/>
      <w:bookmarkStart w:id="41" w:name="__Fieldmark__333_531023477"/>
      <w:bookmarkStart w:id="42" w:name="__Fieldmark__319_2073936654"/>
      <w:r w:rsidR="00C00A10" w:rsidRPr="007C17A6">
        <w:rPr>
          <w:rFonts w:ascii="Times New Roman" w:hAnsi="Times New Roman" w:cs="Times New Roman"/>
          <w:noProof/>
          <w:color w:val="000000" w:themeColor="text1"/>
          <w:sz w:val="24"/>
          <w:szCs w:val="24"/>
          <w:lang w:val="en-GB"/>
        </w:rPr>
        <w:t>(Garagnani and Pulvermüller, 2016)</w:t>
      </w:r>
      <w:r w:rsidRPr="007C17A6">
        <w:rPr>
          <w:rFonts w:ascii="Times New Roman" w:hAnsi="Times New Roman" w:cs="Times New Roman"/>
        </w:rPr>
        <w:fldChar w:fldCharType="end"/>
      </w:r>
      <w:bookmarkEnd w:id="40"/>
      <w:bookmarkEnd w:id="41"/>
      <w:bookmarkEnd w:id="42"/>
      <w:r w:rsidRPr="007C17A6">
        <w:rPr>
          <w:rFonts w:ascii="Times New Roman" w:hAnsi="Times New Roman" w:cs="Times New Roman"/>
          <w:color w:val="000000" w:themeColor="text1"/>
          <w:sz w:val="24"/>
          <w:szCs w:val="24"/>
          <w:lang w:val="en-GB"/>
        </w:rPr>
        <w:t xml:space="preserve">, we here set out to model the brain’s semantic mechanisms using a mathematically precise model of multiple cortical areas, incorporating spiking neurons, biologically plausible non-supervised learning mechanisms and connectivity structure based on neuroanatomical studies. The network was used to simulate associative word learning by linking word-forms </w:t>
      </w:r>
      <w:r w:rsidR="00565B95" w:rsidRPr="007C17A6">
        <w:rPr>
          <w:rFonts w:ascii="Times New Roman" w:hAnsi="Times New Roman" w:cs="Times New Roman"/>
          <w:color w:val="000000" w:themeColor="text1"/>
          <w:sz w:val="24"/>
          <w:szCs w:val="24"/>
          <w:lang w:val="en-GB"/>
        </w:rPr>
        <w:t xml:space="preserve">with </w:t>
      </w:r>
      <w:r w:rsidRPr="007C17A6">
        <w:rPr>
          <w:rFonts w:ascii="Times New Roman" w:hAnsi="Times New Roman" w:cs="Times New Roman"/>
          <w:color w:val="000000" w:themeColor="text1"/>
          <w:sz w:val="24"/>
          <w:szCs w:val="24"/>
          <w:lang w:val="en-GB"/>
        </w:rPr>
        <w:t>th</w:t>
      </w:r>
      <w:r w:rsidR="00D54BE4" w:rsidRPr="007C17A6">
        <w:rPr>
          <w:rFonts w:ascii="Times New Roman" w:hAnsi="Times New Roman" w:cs="Times New Roman"/>
          <w:color w:val="000000" w:themeColor="text1"/>
          <w:sz w:val="24"/>
          <w:szCs w:val="24"/>
          <w:lang w:val="en-GB"/>
        </w:rPr>
        <w:t xml:space="preserve">eir semantically-related object and action </w:t>
      </w:r>
      <w:r w:rsidRPr="007C17A6">
        <w:rPr>
          <w:rFonts w:ascii="Times New Roman" w:hAnsi="Times New Roman" w:cs="Times New Roman"/>
          <w:color w:val="000000" w:themeColor="text1"/>
          <w:sz w:val="24"/>
          <w:szCs w:val="24"/>
          <w:lang w:val="en-GB"/>
        </w:rPr>
        <w:t xml:space="preserve">representations. The present </w:t>
      </w:r>
      <w:r w:rsidR="00565B95" w:rsidRPr="007C17A6">
        <w:rPr>
          <w:rFonts w:ascii="Times New Roman" w:hAnsi="Times New Roman" w:cs="Times New Roman"/>
          <w:color w:val="000000" w:themeColor="text1"/>
          <w:sz w:val="24"/>
          <w:szCs w:val="24"/>
          <w:lang w:val="en-GB"/>
        </w:rPr>
        <w:t>biologically constrained</w:t>
      </w:r>
      <w:r w:rsidRPr="007C17A6">
        <w:rPr>
          <w:rFonts w:ascii="Times New Roman" w:hAnsi="Times New Roman" w:cs="Times New Roman"/>
          <w:color w:val="000000" w:themeColor="text1"/>
          <w:sz w:val="24"/>
          <w:szCs w:val="24"/>
          <w:lang w:val="en-GB"/>
        </w:rPr>
        <w:t xml:space="preserve"> model</w:t>
      </w:r>
      <w:r w:rsidR="00D54BE4" w:rsidRPr="007C17A6">
        <w:rPr>
          <w:rFonts w:ascii="Times New Roman" w:hAnsi="Times New Roman" w:cs="Times New Roman"/>
          <w:color w:val="000000" w:themeColor="text1"/>
          <w:sz w:val="24"/>
          <w:szCs w:val="24"/>
          <w:lang w:val="en-GB"/>
        </w:rPr>
        <w:t xml:space="preserve"> bridges the gap between neural </w:t>
      </w:r>
      <w:r w:rsidRPr="007C17A6">
        <w:rPr>
          <w:rFonts w:ascii="Times New Roman" w:hAnsi="Times New Roman" w:cs="Times New Roman"/>
          <w:color w:val="000000" w:themeColor="text1"/>
          <w:sz w:val="24"/>
          <w:szCs w:val="24"/>
          <w:lang w:val="en-GB"/>
        </w:rPr>
        <w:t xml:space="preserve">mechanisms and conceptual brain functions, offering a biological account of how aspects of word meaning are acquired, stored, and processed in the brain. </w:t>
      </w:r>
    </w:p>
    <w:p w14:paraId="43B463C5" w14:textId="77777777" w:rsidR="00B30D84" w:rsidRPr="007C17A6" w:rsidRDefault="00B30D84" w:rsidP="00E740D6">
      <w:pPr>
        <w:spacing w:before="120" w:after="120" w:line="240" w:lineRule="auto"/>
        <w:ind w:firstLine="288"/>
        <w:contextualSpacing/>
        <w:jc w:val="both"/>
        <w:rPr>
          <w:rFonts w:ascii="Times New Roman" w:hAnsi="Times New Roman" w:cs="Times New Roman"/>
        </w:rPr>
      </w:pPr>
    </w:p>
    <w:p w14:paraId="01519037" w14:textId="77777777" w:rsidR="00A838DC" w:rsidRPr="007C17A6" w:rsidRDefault="00E5421A" w:rsidP="00E740D6">
      <w:pPr>
        <w:pStyle w:val="Heading1"/>
        <w:spacing w:line="240" w:lineRule="auto"/>
        <w:contextualSpacing/>
        <w:rPr>
          <w:rFonts w:ascii="Times New Roman" w:hAnsi="Times New Roman"/>
          <w:b/>
          <w:sz w:val="24"/>
          <w:szCs w:val="24"/>
          <w:lang w:val="en-GB"/>
        </w:rPr>
      </w:pPr>
      <w:r w:rsidRPr="007C17A6">
        <w:rPr>
          <w:rFonts w:ascii="Times New Roman" w:hAnsi="Times New Roman"/>
          <w:b/>
          <w:sz w:val="24"/>
          <w:szCs w:val="24"/>
          <w:lang w:val="en-GB"/>
        </w:rPr>
        <w:t xml:space="preserve">Methods and Materials </w:t>
      </w:r>
    </w:p>
    <w:p w14:paraId="31163000" w14:textId="77777777" w:rsidR="00A838DC" w:rsidRPr="007C17A6" w:rsidRDefault="00E5421A" w:rsidP="00E740D6">
      <w:pPr>
        <w:pStyle w:val="Heading2"/>
        <w:spacing w:line="240" w:lineRule="auto"/>
        <w:contextualSpacing/>
        <w:rPr>
          <w:rStyle w:val="Heading1Char"/>
          <w:rFonts w:ascii="Times New Roman" w:hAnsi="Times New Roman" w:cs="Times New Roman"/>
          <w:color w:val="auto"/>
          <w:sz w:val="24"/>
          <w:szCs w:val="24"/>
        </w:rPr>
      </w:pPr>
      <w:r w:rsidRPr="007C17A6">
        <w:rPr>
          <w:rStyle w:val="Heading1Char"/>
          <w:rFonts w:ascii="Times New Roman" w:hAnsi="Times New Roman" w:cs="Times New Roman"/>
          <w:color w:val="auto"/>
          <w:sz w:val="24"/>
          <w:szCs w:val="24"/>
        </w:rPr>
        <w:t xml:space="preserve">General features of the model </w:t>
      </w:r>
    </w:p>
    <w:p w14:paraId="54C21324" w14:textId="089A8434" w:rsidR="00B30D84" w:rsidRPr="007C17A6" w:rsidRDefault="00E5421A" w:rsidP="0077421C">
      <w:pPr>
        <w:spacing w:before="120" w:after="240" w:line="240" w:lineRule="auto"/>
        <w:contextualSpacing/>
        <w:jc w:val="both"/>
        <w:rPr>
          <w:rFonts w:ascii="Times New Roman" w:hAnsi="Times New Roman" w:cs="Times New Roman"/>
          <w:color w:val="000000" w:themeColor="text1"/>
          <w:sz w:val="24"/>
          <w:szCs w:val="24"/>
          <w:lang w:val="en-GB"/>
        </w:rPr>
      </w:pPr>
      <w:r w:rsidRPr="007C17A6">
        <w:rPr>
          <w:rFonts w:ascii="Times New Roman" w:hAnsi="Times New Roman" w:cs="Times New Roman"/>
          <w:color w:val="000000" w:themeColor="text1"/>
          <w:sz w:val="24"/>
          <w:szCs w:val="24"/>
          <w:lang w:val="en-GB"/>
        </w:rPr>
        <w:t xml:space="preserve">We </w:t>
      </w:r>
      <w:r w:rsidR="004155FA" w:rsidRPr="007C17A6">
        <w:rPr>
          <w:rFonts w:ascii="Times New Roman" w:hAnsi="Times New Roman" w:cs="Times New Roman"/>
          <w:color w:val="000000" w:themeColor="text1"/>
          <w:sz w:val="24"/>
          <w:szCs w:val="24"/>
          <w:lang w:val="en-GB"/>
        </w:rPr>
        <w:t>implemented</w:t>
      </w:r>
      <w:r w:rsidRPr="007C17A6">
        <w:rPr>
          <w:rFonts w:ascii="Times New Roman" w:hAnsi="Times New Roman" w:cs="Times New Roman"/>
          <w:color w:val="000000" w:themeColor="text1"/>
          <w:sz w:val="24"/>
          <w:szCs w:val="24"/>
          <w:lang w:val="en-GB"/>
        </w:rPr>
        <w:t xml:space="preserve"> a </w:t>
      </w:r>
      <w:r w:rsidR="00565B95" w:rsidRPr="007C17A6">
        <w:rPr>
          <w:rFonts w:ascii="Times New Roman" w:hAnsi="Times New Roman" w:cs="Times New Roman"/>
          <w:color w:val="000000" w:themeColor="text1"/>
          <w:sz w:val="24"/>
          <w:szCs w:val="24"/>
          <w:lang w:val="en-GB"/>
        </w:rPr>
        <w:t>neurobiologically constrained</w:t>
      </w:r>
      <w:r w:rsidRPr="007C17A6">
        <w:rPr>
          <w:rFonts w:ascii="Times New Roman" w:hAnsi="Times New Roman" w:cs="Times New Roman"/>
          <w:color w:val="000000" w:themeColor="text1"/>
          <w:sz w:val="24"/>
          <w:szCs w:val="24"/>
          <w:lang w:val="en-GB"/>
        </w:rPr>
        <w:t xml:space="preserve"> model </w:t>
      </w:r>
      <w:r w:rsidR="00A82299" w:rsidRPr="007C17A6">
        <w:rPr>
          <w:rFonts w:ascii="Times New Roman" w:hAnsi="Times New Roman" w:cs="Times New Roman"/>
          <w:color w:val="000000" w:themeColor="text1"/>
          <w:sz w:val="24"/>
          <w:szCs w:val="24"/>
          <w:lang w:val="en-GB"/>
        </w:rPr>
        <w:t xml:space="preserve">replicating cortical areas of </w:t>
      </w:r>
      <w:r w:rsidR="00A82299" w:rsidRPr="007C17A6">
        <w:rPr>
          <w:rFonts w:ascii="Times New Roman" w:hAnsi="Times New Roman" w:cs="Times New Roman"/>
          <w:noProof/>
          <w:color w:val="000000" w:themeColor="text1"/>
          <w:sz w:val="24"/>
          <w:szCs w:val="24"/>
          <w:lang w:val="en-GB"/>
        </w:rPr>
        <w:t>fronto</w:t>
      </w:r>
      <w:r w:rsidR="00A82299" w:rsidRPr="007C17A6">
        <w:rPr>
          <w:rFonts w:ascii="Times New Roman" w:hAnsi="Times New Roman" w:cs="Times New Roman"/>
          <w:color w:val="000000" w:themeColor="text1"/>
          <w:sz w:val="24"/>
          <w:szCs w:val="24"/>
          <w:lang w:val="en-GB"/>
        </w:rPr>
        <w:t>-</w:t>
      </w:r>
      <w:r w:rsidR="00A82299" w:rsidRPr="007C17A6">
        <w:rPr>
          <w:rFonts w:ascii="Times New Roman" w:hAnsi="Times New Roman" w:cs="Times New Roman"/>
          <w:noProof/>
          <w:color w:val="000000" w:themeColor="text1"/>
          <w:sz w:val="24"/>
          <w:szCs w:val="24"/>
          <w:lang w:val="en-GB"/>
        </w:rPr>
        <w:t>temporo</w:t>
      </w:r>
      <w:r w:rsidR="00A82299" w:rsidRPr="007C17A6">
        <w:rPr>
          <w:rFonts w:ascii="Times New Roman" w:hAnsi="Times New Roman" w:cs="Times New Roman"/>
          <w:color w:val="000000" w:themeColor="text1"/>
          <w:sz w:val="24"/>
          <w:szCs w:val="24"/>
          <w:lang w:val="en-GB"/>
        </w:rPr>
        <w:t xml:space="preserve">-occipital lobes and their connectivity to shed light on the mechanism underlying semantic processing grounded in action and perception. </w:t>
      </w:r>
      <w:r w:rsidRPr="007C17A6">
        <w:rPr>
          <w:rFonts w:ascii="Times New Roman" w:hAnsi="Times New Roman" w:cs="Times New Roman"/>
          <w:sz w:val="24"/>
          <w:szCs w:val="24"/>
          <w:lang w:val="en-GB"/>
        </w:rPr>
        <w:t>We created a neural architecture with 15,000 representative neurons for simulating activity in twelve cortical areas in the left language-dominant hemisphere (see Fig 1A)</w:t>
      </w:r>
      <w:r w:rsidRPr="007C17A6">
        <w:rPr>
          <w:rFonts w:ascii="Times New Roman" w:eastAsia="Times New Roman" w:hAnsi="Times New Roman" w:cs="Times New Roman"/>
          <w:color w:val="000000" w:themeColor="text1"/>
          <w:sz w:val="24"/>
          <w:szCs w:val="24"/>
          <w:shd w:val="clear" w:color="auto" w:fill="FFFFFF"/>
          <w:lang w:val="en-GB" w:eastAsia="it-IT"/>
        </w:rPr>
        <w:t xml:space="preserve">. </w:t>
      </w:r>
      <w:r w:rsidRPr="007C17A6">
        <w:rPr>
          <w:rFonts w:ascii="Times New Roman" w:hAnsi="Times New Roman" w:cs="Times New Roman"/>
          <w:sz w:val="24"/>
          <w:szCs w:val="24"/>
          <w:lang w:val="en-GB" w:eastAsia="zh-CN"/>
        </w:rPr>
        <w:t>These ‘areas’ represented three levels of processing – primary, secondary and higher-association cortex – in four modality-systems: (motor) frontal superior-lateral hand-motor, (articulatory) inferior face-motor, (auditory) superior-temporal and (visual) inferior-</w:t>
      </w:r>
      <w:r w:rsidRPr="007C17A6">
        <w:rPr>
          <w:rFonts w:ascii="Times New Roman" w:hAnsi="Times New Roman" w:cs="Times New Roman"/>
          <w:noProof/>
          <w:sz w:val="24"/>
          <w:szCs w:val="24"/>
          <w:lang w:val="en-GB" w:eastAsia="zh-CN"/>
        </w:rPr>
        <w:t>temporo</w:t>
      </w:r>
      <w:r w:rsidRPr="007C17A6">
        <w:rPr>
          <w:rFonts w:ascii="Times New Roman" w:hAnsi="Times New Roman" w:cs="Times New Roman"/>
          <w:sz w:val="24"/>
          <w:szCs w:val="24"/>
          <w:lang w:val="en-GB" w:eastAsia="zh-CN"/>
        </w:rPr>
        <w:t xml:space="preserve">-occipital system. Two of these, </w:t>
      </w:r>
      <w:r w:rsidRPr="007C17A6">
        <w:rPr>
          <w:rFonts w:ascii="Times New Roman" w:hAnsi="Times New Roman" w:cs="Times New Roman"/>
          <w:sz w:val="24"/>
          <w:szCs w:val="24"/>
          <w:lang w:val="en-GB"/>
        </w:rPr>
        <w:t xml:space="preserve">the auditory and articulatory systems (areas highlighted in blue and red, Fig 1A) </w:t>
      </w:r>
      <w:r w:rsidRPr="007C17A6">
        <w:rPr>
          <w:rFonts w:ascii="Times New Roman" w:hAnsi="Times New Roman" w:cs="Times New Roman"/>
          <w:sz w:val="24"/>
          <w:szCs w:val="24"/>
          <w:lang w:val="en-GB" w:eastAsia="zh-CN"/>
        </w:rPr>
        <w:t>are in perisylvian language cortex</w:t>
      </w:r>
      <w:r w:rsidRPr="007C17A6">
        <w:rPr>
          <w:rFonts w:ascii="Times New Roman" w:hAnsi="Times New Roman" w:cs="Times New Roman"/>
          <w:sz w:val="24"/>
          <w:szCs w:val="24"/>
          <w:lang w:val="en-GB"/>
        </w:rPr>
        <w:t xml:space="preserve"> and appear most relevant for language processing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"10.1046/j.0953-816x.2001.01874.x", "ISBN" : "0953-816X (Print) 0953-816x", "ISSN" : "0953816X", "PMID" : "11849307", "abstract" : "The precise neural mechanisms underlying speech perception are still to a large extent unknown. The most accepted view is that speech perception depends on auditory-cognitive mechanisms specifically devoted to the analysis of speech sounds. An alternative view is that, crucial for speech perception, it is the activation of the articulatory (motor) gestures that generate these sounds. The listener understands the speaker when his/her articulatory gestures are activated (motor theory of speech perception). Here, by using transcranial magnetic stimulation (TMS), we demonstrate that, during speech listening, there is an increase of motor-evoked potentials recorded from the listeners' tongue muscles when the presented words strongly involve, when pronounced, tongue movements. Although these data do not prove the motor theory of speech perception, they demonstrate for the first time that word listening produces a phoneme specific activation of speech motor centres.", "author" : [ { "dropping-particle" : "", "family" : "Fadiga", "given" : "Luciano", "non-dropping-particle" : "", "parse-names" : false, "suffix" : "" }, { "dropping-particle" : "", "family" : "Craighero", "given" : "Laila", "non-dropping-particle" : "", "parse-names" : false, "suffix" : "" }, { "dropping-particle" : "", "family" : "Buccino", "given" : "Giovanni", "non-dropping-particle" : "", "parse-names" : false, "suffix" : "" }, { "dropping-particle" : "", "family" : "Rizzolatti", "given" : "Giacomo", "non-dropping-particle" : "", "parse-names" : false, "suffix" : "" } ], "container-title" : "European Journal of Neuroscience", "id" : "ITEM-1", "issue" : "2", "issued" : { "date-parts" : [ [ "2002" ] ] }, "page" : "399-402", "title" : "Speech listening specifically modulates the excitability of tongue muscles: A TMS study", "type" : "article-journal", "volume" : "15" }, "uris" : [ "http://www.mendeley.com/documents/?uuid=af08963a-e1bb-487a-8496-6925f6ef3c84" ] }, { "id" : "ITEM-2", "itemData" : { "DOI" : "10.1017/S0140525X9900182X", "ISBN" : "0140-525X (Print)\\r0140-525X (Linking)", "ISSN" : "0140525X", "PMID" : "11301524", "abstract" : "If the cortex is an associative memory, strongly connected cell assemblies will form when neurons in different cortical areas are frequently active at the same time. The cortical distributions of these assemblies must be a consequence of where in the cortex cor- related neuronal activity occurred during learning. An assembly can be considered a functional unit exhibiting activity states such as full activation (\u201cignition\u201d) after appropriate sensory stimulation (possibly related to perception) and continuous reverberation of excitation within the assembly (a putative memory process). This has implications for cortical topographies and activity dynamics of cell assemblies forming during language acquisition, in particular for those representing words. Cortical topographies of assemblies should be related to aspects of the meaning of the words they represent, and physiological signs of cell assembly ignition should be followed by possible indicators of reverberation. The following postulates are discussed in detail: (1) assemblies representing phonological word forms are strongly lateralized and distributed over perisylvian cortices; (2) assemblies representing highly abstract words such as grammatical func- tion words are also strongly lateralized and restricted to these perisylvian regions; (3) assemblies representing concrete content words include additional neurons in both hemispheres; (4) assemblies representing words referring to visual stimuli include neurons in visual cortices; and (5) assemblies representing words referring to actions include neurons in motor cortices. Two main sources of evidence are used to evaluate these proposals: (a) imaging studies focusing on localizing word processing in the brain, based on stimulus-triggered event-related potentials (ERPs), positron emission tomography (PET), and functional magnetic resonance imaging (fMRI), and (b) stud- ies of the temporal dynamics of fast activity changes in the brain, as revealed by high-frequency responses recorded in the electroen- cephalogram (EEG) and magnetoencephalogram (MEG). These data provide evidence for processing differences between words and matched meaningless pseudowords, and between word classes, such as concrete content and abstract function words, and words evok- ing visual or motor associations. There is evidence for early word class-specific spreading of neuronal activity and for equally specific high-frequency responses occurring later. These results support a neu\u2026", "author" : [ { "dropping-particle" : "", "family" : "Pulverm\u00fcller", "given" : "Friedemann", "non-dropping-particle" : "", "parse-names" : false, "suffix" : "" } ], "container-title" : "Behavioral and Brain Sciences", "id" : "ITEM-2", "issue" : "1999", "issued" : { "date-parts" : [ [ "1999" ] ] }, "page" : "253-336", "title" : "Words in the brain\u2019s language", "type" : "article-journal", "volume" : "22" }, "uris" : [ "http://www.mendeley.com/documents/?uuid=5a10fc72-f523-4705-8648-883d191b1aaa" ] }, { "id" : "ITEM-3", "itemData" : { "DOI" : "10.1038/nrn2811", "ISBN" : "1471-0048 (Electronic)\\n1471-003X (Linking)", "ISSN" : "1471-003X", "PMID" : "20383203", "abstract" : "Action and perception are functionally linked in the brain, but a hotly debated question is whether perception and comprehension of stimuli depend on motor circuits. Brain language mechanisms are ideal for addressing this question. Neuroimaging investigations have found specific motor activations when subjects understand speech sounds, word meanings and sentence structures. Moreover, studies involving transcranial magnetic stimulation and patients with lesions affecting inferior frontal regions of the brain have shown contributions of motor circuits to the comprehension of phonemes, semantic categories and grammar. These data show that language comprehension benefits from frontocentral action systems, indicating that action and perception circuits are interdependent.", "author" : [ { "dropping-particle" : "", "family" : "Pulverm\u00fcller", "given" : "Friedemann", "non-dropping-particle" : "", "parse-names" : false, "suffix" : "" }, { "dropping-particle" : "", "family" : "Fadiga", "given" : "Luciano", "non-dropping-particle" : "", "parse-names" : false, "suffix" : "" } ], "container-title" : "Nature reviews. Neuroscience", "id" : "ITEM-3", "issue" : "5", "issued" : { "date-parts" : [ [ "2010", "5" ] ] }, "page" : "351-360", "publisher" : "Nature Publishing Group", "title" : "Active perception: sensorimotor circuits as a cortical basis for language.", "type" : "article-journal", "volume" : "11" }, "uris" : [ "http://www.mendeley.com/documents/?uuid=d775f2cf-7003-4d84-93e0-a38870d6a377" ] }, { "id" : "ITEM-4", "itemData" : { "DOI" : "10.1093/cercor/6.1.21", "ISSN" : "1047-3211", "abstract" : "Positron emission tomography was used to investigate cerebral blood flow (CBF) changes associated with the processing of speech. In a first experiment, normal right-handed volunteers were scanned under two conditions that required phonetic processing (discrimination of final consonants and phoneme monitoring), and one baseline condition of passive listening. Analysis was carried out by paired-image subtraction, with MRI overlay for anatomical localization. Comparison of each phonetic condition with the baseline condition revealed increased CBF in the left frontal lobe, close to the border between Broca's area and the motor cortex, and in a left parietal region. A second experiment showed that this area was not activated by a semantic judgment task. Reanalysis of data from an earlier study, in which various baseline conditions were used, confirmed that this region of left frontal cortex is consistently involved in phonetic tasks. The findings support a model whereby articulatory processes involving a portion of Broca's area are important when phonetic segments must be extracted and manipulated, whereas left posterior temporal cortex is involved in perceptual analysis of speech</w:instrText>
      </w:r>
      <w:r w:rsidR="007F4106" w:rsidRPr="007C17A6">
        <w:rPr>
          <w:rFonts w:ascii="Times New Roman" w:hAnsi="Times New Roman" w:cs="Times New Roman"/>
          <w:lang w:val="es-ES"/>
        </w:rPr>
        <w:instrText>.", "author" : [ { "dropping-particle" : "", "family" : "Zatorre", "given" : "Robert J", "non-dropping-particle" : "", "parse-names" : false, "suffix" : "" }, { "dropping-particle" : "", "family" : "Meyer", "given" : "Ernest", "non-dropping-particle" : "", "parse-names" : false, "suffix" : "" }, { "dropping-particle" : "", "family" : "Gjedde", "given" : "Albert", "non-dropping-particle" : "", "parse-names" : false, "suffix" : "" }, { "dropping-particle" : "", "family" : "Evans", "given" : "Alan C", "non-dropping-particle" : "", "parse-names" : false, "suffix" : "" } ], "container-title" : "Cerebral Cortex", "id" : "ITEM-4", "issue" : "1", "issued" : { "date-parts" : [ [ "1996", "1", "1" ] ] }, "page" : "21-30", "title" : "PET Studies of Phonetic Processing of Speech: Review, Replication, and Reanalysis", "type" : "article-journal", "volume" : "6" }, "uris" : [ "http://www.mendeley.com/documents/?uuid=98e68709-1b25-4e84-8cfa-cfcde54d4ada" ] } ], "mendeley" : { "formattedCitation" : "(Fadiga et al., 2002; Pulverm\u00fcller, 1999; Pulverm\u00fcller and Fadiga, 2010; Zatorre et al., 1996)", "plainTextFormattedCitation" : "(Fadiga et al., 2002; Pulverm\u00fcller, 1999; Pulverm\u00fcller and Fadiga, 2010; Zatorre et al., 1996)", "previouslyFormattedCitation" : "(Fadiga et al., 2002; Pulverm\u00fcller, 1999; Pulverm\u00fcller and Fadiga, 2010; Zatorre et al., 1996)" }, "properties" : {  }, "schema" : "https://github.com/citation-style-language/schema/raw/master/csl-citation.json" }</w:instrText>
      </w:r>
      <w:r w:rsidRPr="007C17A6">
        <w:rPr>
          <w:rFonts w:ascii="Times New Roman" w:hAnsi="Times New Roman" w:cs="Times New Roman"/>
        </w:rPr>
        <w:fldChar w:fldCharType="separate"/>
      </w:r>
      <w:bookmarkStart w:id="43" w:name="__Fieldmark__333_1687356023"/>
      <w:r w:rsidR="001C3C6B" w:rsidRPr="007C17A6">
        <w:rPr>
          <w:rFonts w:ascii="Times New Roman" w:hAnsi="Times New Roman" w:cs="Times New Roman"/>
          <w:noProof/>
          <w:sz w:val="24"/>
          <w:szCs w:val="24"/>
          <w:lang w:val="es-ES"/>
        </w:rPr>
        <w:t>(Fadiga et al., 2002; Pulvermüller, 1999; Pulvermüller and Fadiga, 2010; Zatorre et al., 1996)</w:t>
      </w:r>
      <w:r w:rsidRPr="007C17A6">
        <w:rPr>
          <w:rFonts w:ascii="Times New Roman" w:hAnsi="Times New Roman" w:cs="Times New Roman"/>
        </w:rPr>
        <w:fldChar w:fldCharType="end"/>
      </w:r>
      <w:bookmarkEnd w:id="43"/>
      <w:r w:rsidRPr="007C17A6">
        <w:rPr>
          <w:rFonts w:ascii="Times New Roman" w:hAnsi="Times New Roman" w:cs="Times New Roman"/>
          <w:sz w:val="24"/>
          <w:szCs w:val="24"/>
          <w:lang w:val="es-ES"/>
        </w:rPr>
        <w:t xml:space="preserve">. </w:t>
      </w:r>
      <w:r w:rsidR="00565B95" w:rsidRPr="007C17A6">
        <w:rPr>
          <w:rFonts w:ascii="Times New Roman" w:hAnsi="Times New Roman" w:cs="Times New Roman"/>
          <w:sz w:val="24"/>
          <w:szCs w:val="24"/>
        </w:rPr>
        <w:t>T</w:t>
      </w:r>
      <w:r w:rsidRPr="007C17A6">
        <w:rPr>
          <w:rFonts w:ascii="Times New Roman" w:hAnsi="Times New Roman" w:cs="Times New Roman"/>
          <w:sz w:val="24"/>
          <w:szCs w:val="24"/>
        </w:rPr>
        <w:t xml:space="preserve">he motor and visual system </w:t>
      </w:r>
      <w:r w:rsidRPr="007C17A6">
        <w:rPr>
          <w:rFonts w:ascii="Times New Roman" w:hAnsi="Times New Roman" w:cs="Times New Roman"/>
          <w:sz w:val="24"/>
          <w:szCs w:val="24"/>
          <w:lang w:val="en-GB"/>
        </w:rPr>
        <w:t xml:space="preserve">(yellow and green highlighted areas) </w:t>
      </w:r>
      <w:r w:rsidR="00D54BE4" w:rsidRPr="007C17A6">
        <w:rPr>
          <w:rFonts w:ascii="Times New Roman" w:hAnsi="Times New Roman" w:cs="Times New Roman"/>
          <w:sz w:val="24"/>
          <w:szCs w:val="24"/>
          <w:lang w:val="en-GB"/>
        </w:rPr>
        <w:t>are</w:t>
      </w:r>
      <w:r w:rsidRPr="007C17A6">
        <w:rPr>
          <w:rFonts w:ascii="Times New Roman" w:hAnsi="Times New Roman" w:cs="Times New Roman"/>
          <w:sz w:val="24"/>
          <w:szCs w:val="24"/>
          <w:lang w:val="en-GB"/>
        </w:rPr>
        <w:t xml:space="preserve"> outside the perisylvian language cortex (call</w:t>
      </w:r>
      <w:r w:rsidR="00565B95" w:rsidRPr="007C17A6">
        <w:rPr>
          <w:rFonts w:ascii="Times New Roman" w:hAnsi="Times New Roman" w:cs="Times New Roman"/>
          <w:sz w:val="24"/>
          <w:szCs w:val="24"/>
          <w:lang w:val="en-GB"/>
        </w:rPr>
        <w:t>ed</w:t>
      </w:r>
      <w:r w:rsidRPr="007C17A6">
        <w:rPr>
          <w:rFonts w:ascii="Times New Roman" w:hAnsi="Times New Roman" w:cs="Times New Roman"/>
          <w:sz w:val="24"/>
          <w:szCs w:val="24"/>
          <w:lang w:val="en-GB"/>
        </w:rPr>
        <w:t xml:space="preserve"> ‘extrasylvian’</w:t>
      </w:r>
      <w:r w:rsidR="00565B95" w:rsidRPr="007C17A6">
        <w:rPr>
          <w:rFonts w:ascii="Times New Roman" w:hAnsi="Times New Roman" w:cs="Times New Roman"/>
          <w:sz w:val="24"/>
          <w:szCs w:val="24"/>
          <w:lang w:val="en-GB"/>
        </w:rPr>
        <w:t xml:space="preserve"> in the present work</w:t>
      </w:r>
      <w:r w:rsidRPr="007C17A6">
        <w:rPr>
          <w:rFonts w:ascii="Times New Roman" w:hAnsi="Times New Roman" w:cs="Times New Roman"/>
          <w:sz w:val="24"/>
          <w:szCs w:val="24"/>
          <w:lang w:val="en-GB"/>
        </w:rPr>
        <w:t>)</w:t>
      </w:r>
      <w:r w:rsidR="00565B95" w:rsidRPr="007C17A6">
        <w:rPr>
          <w:rFonts w:ascii="Times New Roman" w:hAnsi="Times New Roman" w:cs="Times New Roman"/>
          <w:sz w:val="24"/>
          <w:szCs w:val="24"/>
          <w:lang w:val="en-GB"/>
        </w:rPr>
        <w:t xml:space="preserve"> and</w:t>
      </w:r>
      <w:r w:rsidRPr="007C17A6">
        <w:rPr>
          <w:rFonts w:ascii="Times New Roman" w:eastAsia="Times New Roman" w:hAnsi="Times New Roman" w:cs="Times New Roman"/>
          <w:color w:val="000000" w:themeColor="text1"/>
          <w:sz w:val="24"/>
          <w:szCs w:val="24"/>
          <w:shd w:val="clear" w:color="auto" w:fill="FFFFFF"/>
          <w:lang w:val="en-GB" w:eastAsia="it-IT"/>
        </w:rPr>
        <w:t xml:space="preserve"> involved in processing </w:t>
      </w:r>
      <w:r w:rsidRPr="007C17A6">
        <w:rPr>
          <w:rFonts w:ascii="Times New Roman" w:eastAsia="Times New Roman" w:hAnsi="Times New Roman" w:cs="Times New Roman"/>
          <w:color w:val="000000" w:themeColor="text1"/>
          <w:sz w:val="24"/>
          <w:szCs w:val="24"/>
          <w:shd w:val="clear" w:color="auto" w:fill="FFFFFF"/>
          <w:lang w:val="en-GB" w:eastAsia="it-IT"/>
        </w:rPr>
        <w:lastRenderedPageBreak/>
        <w:t xml:space="preserve">visual object </w:t>
      </w:r>
      <w:r w:rsidR="00B16EA1" w:rsidRPr="007C17A6">
        <w:rPr>
          <w:rFonts w:ascii="Times New Roman" w:eastAsia="Times New Roman" w:hAnsi="Times New Roman" w:cs="Times New Roman"/>
          <w:color w:val="000000" w:themeColor="text1"/>
          <w:sz w:val="24"/>
          <w:szCs w:val="24"/>
          <w:shd w:val="clear" w:color="auto" w:fill="FFFFFF"/>
          <w:lang w:val="en-GB" w:eastAsia="it-IT"/>
        </w:rPr>
        <w:t>processing</w:t>
      </w:r>
      <w:r w:rsidRPr="007C17A6">
        <w:rPr>
          <w:rFonts w:ascii="Times New Roman" w:eastAsia="Times New Roman" w:hAnsi="Times New Roman" w:cs="Times New Roman"/>
          <w:color w:val="000000" w:themeColor="text1"/>
          <w:sz w:val="24"/>
          <w:szCs w:val="24"/>
          <w:shd w:val="clear" w:color="auto" w:fill="FFFFFF"/>
          <w:lang w:val="en-GB" w:eastAsia="it-IT"/>
        </w:rPr>
        <w:t xml:space="preserve">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"10.1016/0959-4388(94)90066-3", "ISBN" : "0959-4388 (Print)\\r0959-4388 (Linking)", "ISSN" : "09594388", "PMID" : "8038571", "abstract" : "Multiple visual areas in the cortex of nonhuman primates are organized into two hierarchically organized and functionally specialized processing pathways, a 'ventral stream' for object vision and a 'dorsal stream' for spatial vision. Recent findings from positron emission tomography activation studies have localized these pathways within the human brain, yielding insights into cortical hierarchies, specialization of function, and attentional mechanisms.", "author" : [ { "dropping-particle" : "", "family" : "Ungerleider", "given" : "Leslie G.", "non-dropping-particle" : "", "parse-names" : false, "suffix" : "" }, { "dropping-particle" : "V.", "family" : "Haxby", "given" : "James", "non-dropping-particle" : "", "parse-names" : false, "suffix" : "" } ], "container-title" : "Current Opinion in Neurobiology", "id" : "ITEM-1", "issue" : "2", "issued" : { "date-parts" : [ [ "1994" ] ] }, "page" : "157-165", "title" : "'What' and 'where' in the human brain", "type" : "article-journal", "volume" : "4" }, "uris" : [ "http://www.mendeley.com/documents/?uuid=7c9fd9fe-8960-48f9-9f0c-5779705e3c50" ] } ], "mendeley" : { "formattedCitation" : "(Ungerleider and Haxby, 1994)", "plainTextFormattedCitation" : "(Ungerleider and Haxby, 1994)", "previouslyFormattedCitation" : "(Ungerleider and Haxby, 1994)" }, "properties" : {  }, "schema" : "https://github.com/citation-style-language/schema/raw/master/csl-citation.json" }</w:instrText>
      </w:r>
      <w:r w:rsidRPr="007C17A6">
        <w:rPr>
          <w:rFonts w:ascii="Times New Roman" w:hAnsi="Times New Roman" w:cs="Times New Roman"/>
        </w:rPr>
        <w:fldChar w:fldCharType="separate"/>
      </w:r>
      <w:bookmarkStart w:id="44" w:name="__Fieldmark__345_1687356023"/>
      <w:r w:rsidR="00C00A10" w:rsidRPr="007C17A6">
        <w:rPr>
          <w:rFonts w:ascii="Times New Roman" w:eastAsia="Times New Roman" w:hAnsi="Times New Roman" w:cs="Times New Roman"/>
          <w:noProof/>
          <w:color w:val="000000" w:themeColor="text1"/>
          <w:sz w:val="24"/>
          <w:szCs w:val="24"/>
          <w:lang w:val="en-GB" w:eastAsia="it-IT"/>
        </w:rPr>
        <w:t>(Ungerleider and Haxby, 1994)</w:t>
      </w:r>
      <w:r w:rsidRPr="007C17A6">
        <w:rPr>
          <w:rFonts w:ascii="Times New Roman" w:hAnsi="Times New Roman" w:cs="Times New Roman"/>
        </w:rPr>
        <w:fldChar w:fldCharType="end"/>
      </w:r>
      <w:bookmarkEnd w:id="44"/>
      <w:r w:rsidRPr="007C17A6">
        <w:rPr>
          <w:rFonts w:ascii="Times New Roman" w:eastAsia="Times New Roman" w:hAnsi="Times New Roman" w:cs="Times New Roman"/>
          <w:color w:val="000000" w:themeColor="text1"/>
          <w:sz w:val="24"/>
          <w:szCs w:val="24"/>
          <w:shd w:val="clear" w:color="auto" w:fill="FFFFFF"/>
          <w:lang w:val="en-GB" w:eastAsia="it-IT"/>
        </w:rPr>
        <w:t xml:space="preserve">, and the execution of manual actions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"10.1007/BF00231461", "ISBN" : "0014-4819 (Print)\\r0014-4819 (Linking)", "ISSN" : "00144819", "PMID" : "2065746", "abstract" : "Regional cerebral blood flow was measured in normal subjects with positron emission tomography (PET) while they performed five different motor tasks. In all tasks they had to moved a joystick on hearing a tone. In the control task they always pushed it forwards (fixed condition), and in four other experimental tasks the subjects had to select between four possible directions of movement. These four tasks differed in the basis for movement selection. A comparison was made between the regional blood flow for the four tasks involving movement selection and the fixed condition in which no selection was required. When selection of a movement was made, significant increases in regional cerebral blood flow were found in the premotor cortex, supplementary motor cortex, and superior parietal association cortex. A comparison was also made between the blood flow maps generated when subjects performed tasks based on internal or external cues. In the tasks with internal cues the subjects could prepare their movement before the trigger stimulus, whereas in the tasks with external cues they could not. There was greater activation in the supplementary motor cortex for the tasks with internal cues. Finally a comparison was made between each of the selection conditions and the fixed condition; the greatest and most widespread changes in regional activity were generated by the task on which the subjects themselves made a random selection between the four movements.", "author" : [ { "dropping-particle" : "", "family" : "Deiber", "given" : "M. P.", "non-dropping-particle" : "", "parse-names" : false, "suffix" : "" }, { "dropping-particle" : "", "family" : "Passingham", "given" : "R. E.", "non-dropping-particle" : "", "parse-names" : false, "suffix" : "" }, { "dropping-particle" : "", "family" : "Colebatch", "given" : "J. G.", "non-dropping-particle" : "", "parse-names" : false, "suffix" : "" }, { "dropping-particle" : "", "family" : "Friston", "given" : "K. J.", "non-dropping-particle" : "", "parse-names" : false, "suffix" : "" }, { "dropping-particle" : "", "family" : "Nixon", "given" : "P. D.", "non-dropping-particle" : "", "parse-names" : false, "suffix" : "" }, { "dropping-particle" : "", "family" : "Frackowiak", "given" : "R. S J", "non-dropping-particle" : "", "parse-names" : false, "suffix" : "" } ], "container-title" : "Experimental Brain Research", "id" : "ITEM-1", "issue" : "2", "issued" : { "date-parts" : [ [ "1991" ] ] }, "page" : "393-402", "title" : "Cortical areas and the selection of movement: a study with positron emission tomography", "type" : "article-journal", "volume" : "84" }, "uris" : [ "http://www.mendeley.com/documents/?uuid=46c02ddf-6609-47d2-ab3d-d1c1a5b80e5f" ] }, { "id" : "ITEM-2", "itemData" : { "ISSN" : "0031-9384", "author" : [ { "dropping-particle" : "", "family" : "Dum", "given" : "Richard P", "non-dropping-particle" : "", "parse-names" : false, "suffix" : "" }, { "dropping-particle" : "", "family" : "Strick", "given" : "Peter L", "non-dropping-particle" : "", "parse-names" : false, "suffix" : "" } ], "container-title" : "Physiology &amp; behavior", "id" : "ITEM-2", "issue" : "4", "issued" : { "date-parts" : [ [ "2002" ] ] }, "page" : "677-682", "publisher" : "Elsevier", "title" : "Motor areas in the frontal lobe of the primate", "type" : "article-journal", "volume" : "77" }, "uris" : [ "http://www.mendeley.com/documents/?uuid=a993f6c1-4ea7-4423-b24c-7882629caf5a" ] }, { "id" : "ITEM-3", "itemData" : { "DOI" : "10.1523/JNEUROSCI.3902-04.2005", "ISBN" : "0270-6474", "ISSN" : "1529-2401", "PMID" : "15703391", "abstract" : "We examined the frontal lobe connections of the digit representations in the primary motor cortex (M1), the dorsal premotor area (PMd), and the ventral premotor area (PMv) of cebus monkeys. All of these digit representations lie on the lateral surface of the hemisphere. We used intracortical stimulation to identify the digit representations physiologically, and then we injected different tracers into two of the three cortical areas. This approach enabled us to compare the inputs to two digit representations in the same animal. We found that the densest inputs from the premotor areas to the digit representation in M1 originate from the PMd and the PMv. Both of these premotor areas contain a distinct digit representation, and the two digit representations are densely interconnected. Surprisingly, the projections from the digit representation in the supplementary motor area (SMA) to the PMd and PMv are stronger than the SMA projections to M1. The projections from other premotor areas to M1, the PMd, and the PMv are more modest. Of the three digit areas on the lateral surface, only the PMv receives dense input from the prefrontal cortex. Based on these results, we believe that M1, the PMd, and the PMv form a densely interconnected network of cortical areas that is concerned with the generation and control of hand movements. Overall, the laminar origins of neurons that interconnect the three cortical areas are typical of \"lateral\" interactions. Thus, from an anatomical perspective, this cortical network lacks a clear hierarchical organization", "author" : [ { "dropping-particle" : "", "family" : "Dum", "given" : "Richard P", "non-dropping-particle" : "", "parse-names" : false, "suffix" : "" }, { "dropping-particle" : "", "family" : "Strick", "given" : "Peter L", "non-dropping-particle" : "", "parse-names" : false, "suffix" : "" } ], "container-title" : "Journal of Neuroscience", "id" : "ITEM-3", "issue" : "1529-2401 (Electronic)", "issued" : { "date-parts" : [ [ "2005", "2", "9" ] ] }, "note" : "10.1523/JNEUROSCI.3902-04.2005", "page" : "1375-1386", "title" : "Frontal lobe inputs to the digit representations of the motor areas on the lateral surface of the hemisphere", "type" : "article-journal", "volume" : "25" }, "uris" : [ "http://www.mendeley.com/documents/?uuid=96f3ea98-7a44-4fd0-a6ae-a05f44b5b3fc" ] }, { "id" : "ITEM-4", "itemData" : { "DOI" : "10.1002/cne.903410308", "ISBN" : "0021-9967", "ISSN" : "0021-9967", "PMID" : "7515081", "abstract" : "We examined interconnections between a portion of the prefrontal cortex and the premotor areas in the frontal lobe to provide insights into the routes by which the prefrontal cortex gains access to the primary motor cortex and the central control of movement. We placed multiple injections of one retrograde tracer in the arm area of the primary motor cortex to define the premotor areas in the frontal lobe. Then, in the same animal, we placed multiple injections of another retrograde tracer in and around the principal sulcus (Walker's area 46). This double labeling strategy enabled us to determine which premotor areas are interconnected with the prefrontal cortex. There are three major results of this study. First, we found that five of the six premotor areas in the frontal lobe are interconnected with the dorsolateral prefrontal cortex. Second, the major site for interactions between the prefrontal cortex and the premotor areas is the ventral premotor area. Third, the prefrontal cortex is interconnected with only a portion of the arm representation in three premotor areas (supplementary motor area, the caudal cingulate motor area on the ventral bank of the cingulate sulcus, and the dorsal premotor area), whereas it is interconnected with the entire arm representation in the ventral premotor area and the rostral cingulate motor area. These observations indicate that the output of the prefrontal cortex targets specific premotor areas and even subregions within individual premotor areas.", "author" : [ { "dropping-particle" : "", "family" : "Lu", "given" : "M T", "non-dropping-particle" : "", "parse-names" : false, "suffix" : "" }, { "dropping-particle" : "", "family" : "Preston", "given" : "J B", "non-dropping-particle" : "", "parse-names" : false, "suffix" : "" }, { "dropping-particle" : "", "family" : "Strick", "given" : "P L", "non-dropping-particle" : "", "parse-names" : false, "suffix" : "" } ], "container-title" : "The Journal of comparative neurology", "id" : "ITEM-4", "issue" : "3", "issued" : { "date-parts" : [ [ "1994" ] ] }, "page" : "375-392", "publisher" : "Wiley Online Library", "title" : "Interconnections between the prefrontal cortex and the premotor areas in the frontal lobe.", "type" : "article-journal", "volume" : "341" }, "uris" : [ "http://www.mendeley.com/documents/?uuid=740b42d8-9c59-4e9d-8323-aab2b27f1921" ] } ], "mendeley" : { "formattedCitation" : "(Deiber et al., 1991; Dum and Strick, 2005, 2002; Lu et al., 1994)", "plainTextFormattedCitation" : "(Deiber et al., 1991; Dum and Strick, 2005, 2002; Lu et al., 1994)", "previouslyFormattedCitation" : "(Deiber et al., 1991; Dum and Strick, 2005, 2002; Lu et al., 1994)" }, "properties" : {  }, "schema" : "https://github.com/citation-style-language/schema/raw/master/csl-citation.json" }</w:instrText>
      </w:r>
      <w:r w:rsidRPr="007C17A6">
        <w:rPr>
          <w:rFonts w:ascii="Times New Roman" w:hAnsi="Times New Roman" w:cs="Times New Roman"/>
        </w:rPr>
        <w:fldChar w:fldCharType="separate"/>
      </w:r>
      <w:bookmarkStart w:id="45" w:name="__Fieldmark__350_1687356023"/>
      <w:r w:rsidR="00C00A10" w:rsidRPr="007C17A6">
        <w:rPr>
          <w:rFonts w:ascii="Times New Roman" w:eastAsia="Times New Roman" w:hAnsi="Times New Roman" w:cs="Times New Roman"/>
          <w:noProof/>
          <w:color w:val="000000" w:themeColor="text1"/>
          <w:sz w:val="24"/>
          <w:szCs w:val="24"/>
          <w:lang w:val="en-GB" w:eastAsia="it-IT"/>
        </w:rPr>
        <w:t>(Deiber et al., 1991; Dum and Strick, 2005, 2002; Lu et al., 1994)</w:t>
      </w:r>
      <w:r w:rsidRPr="007C17A6">
        <w:rPr>
          <w:rFonts w:ascii="Times New Roman" w:hAnsi="Times New Roman" w:cs="Times New Roman"/>
        </w:rPr>
        <w:fldChar w:fldCharType="end"/>
      </w:r>
      <w:bookmarkEnd w:id="45"/>
      <w:r w:rsidRPr="007C17A6">
        <w:rPr>
          <w:rFonts w:ascii="Times New Roman" w:hAnsi="Times New Roman" w:cs="Times New Roman"/>
          <w:color w:val="000000" w:themeColor="text1"/>
          <w:sz w:val="24"/>
          <w:szCs w:val="24"/>
          <w:lang w:val="en-GB"/>
        </w:rPr>
        <w:t xml:space="preserve">. </w:t>
      </w:r>
    </w:p>
    <w:p w14:paraId="6B333F75" w14:textId="77777777" w:rsidR="00E740D6" w:rsidRPr="007C17A6" w:rsidRDefault="00E740D6" w:rsidP="00E740D6">
      <w:pPr>
        <w:spacing w:before="120" w:after="240" w:line="240" w:lineRule="auto"/>
        <w:ind w:firstLine="289"/>
        <w:contextualSpacing/>
        <w:jc w:val="both"/>
        <w:rPr>
          <w:rFonts w:ascii="Times New Roman" w:hAnsi="Times New Roman" w:cs="Times New Roman"/>
          <w:color w:val="000000" w:themeColor="text1"/>
          <w:sz w:val="24"/>
          <w:szCs w:val="24"/>
          <w:lang w:val="en-GB"/>
        </w:rPr>
      </w:pPr>
    </w:p>
    <w:p w14:paraId="7FBF041B" w14:textId="509B8270" w:rsidR="006A192C" w:rsidRPr="007C17A6" w:rsidRDefault="00D4427D" w:rsidP="0077421C">
      <w:pPr>
        <w:spacing w:before="120" w:after="120" w:line="240" w:lineRule="auto"/>
        <w:contextualSpacing/>
        <w:jc w:val="both"/>
        <w:rPr>
          <w:rFonts w:ascii="Times New Roman" w:hAnsi="Times New Roman" w:cs="Times New Roman"/>
          <w:sz w:val="24"/>
          <w:szCs w:val="24"/>
          <w:lang w:val="en-GB"/>
        </w:rPr>
      </w:pPr>
      <w:r w:rsidRPr="007C17A6">
        <w:rPr>
          <w:rFonts w:ascii="Times New Roman" w:hAnsi="Times New Roman" w:cs="Times New Roman"/>
          <w:sz w:val="24"/>
          <w:szCs w:val="24"/>
          <w:lang w:val="en-GB"/>
        </w:rPr>
        <w:t>T</w:t>
      </w:r>
      <w:r w:rsidR="00E5421A" w:rsidRPr="007C17A6">
        <w:rPr>
          <w:rFonts w:ascii="Times New Roman" w:hAnsi="Times New Roman" w:cs="Times New Roman"/>
          <w:sz w:val="24"/>
          <w:szCs w:val="24"/>
          <w:lang w:val="en-GB"/>
        </w:rPr>
        <w:t>he model replicates a range of important anatomical and physiological features of the human brain</w:t>
      </w:r>
      <w:r w:rsidR="007F4106" w:rsidRPr="007C17A6">
        <w:rPr>
          <w:rFonts w:ascii="Times New Roman" w:hAnsi="Times New Roman" w:cs="Times New Roman"/>
          <w:sz w:val="24"/>
          <w:szCs w:val="24"/>
          <w:lang w:val="en-GB"/>
        </w:rPr>
        <w:t xml:space="preserve"> </w:t>
      </w:r>
      <w:r w:rsidRPr="007C17A6">
        <w:rPr>
          <w:rFonts w:ascii="Times New Roman" w:hAnsi="Times New Roman" w:cs="Times New Roman"/>
          <w:sz w:val="24"/>
          <w:szCs w:val="24"/>
          <w:lang w:val="en-GB"/>
        </w:rPr>
        <w:fldChar w:fldCharType="begin" w:fldLock="1"/>
      </w:r>
      <w:r w:rsidR="007F4106" w:rsidRPr="007C17A6">
        <w:rPr>
          <w:rFonts w:ascii="Times New Roman" w:hAnsi="Times New Roman" w:cs="Times New Roman"/>
          <w:sz w:val="24"/>
          <w:szCs w:val="24"/>
          <w:lang w:val="en-GB"/>
        </w:rPr>
        <w:instrText>ADDIN CSL_CITATION { "citationItems" : [ { "id" : "ITEM-1", "itemData" : { "DOI" : "http://doi.org/10.1016/j.neuropsychologia.2016.07.004.", "ISSN" : "0028-3932", "abstract" : "Neuroimaging and patient studies show that different areas of cortex respectively specialize for general and selective, or category-specific, semantic processing. Why are there both semantic hubs and category-specificity, and how come that they emerge in different cortical regions? Can the activation time-course of these areas be predicted and explained by brain-like network models? In this present work, we extend a neurocomputational model of human cortical function to simulate the time-course of cortical processes of understanding meaningful concrete words. The model implements frontal and temporal cortical areas for language, perception, and action along with their connectivity. It uses Hebbian learning to semantically ground words in aspects of their referential object- and action-related meaning. Compared with earlier proposals, the present model incorporates additional neuroanatomical links supported by connectivity studies and downscaled synaptic weights in order to control for functional between-area differences purely due to the number of in- or output links of an area. We show that learning of semantic relationships between words and the objects and actions these symbols are used to speak about, leads to the formation of distributed circuits, which all include neuronal material in connector hub areas bridging between sensory and motor cortical systems. Therefore, these connector hub areas acquire a role as semantic hubs. By differentially reaching into motor or visual areas, the cortical distributions of the emergent 'semantic circuits' reflect aspects of the represented symbols' meaning, thus explaining category-specificity. The improved connectivity structure of our model entails a degree of category-specificity even in the 'semantic hubs' of the model. The relative time-course of activation of these areas is typically fast and near-simultaneous, with semantic hubs central to the network structure activating before modality-preferential areas carrying semantic information.", "author" : [ { "dropping-particle" : "", "family" : "Tomasello", "given" : "Rosario", "non-dropping-particle" : "", "parse-names" : false, "suffix" :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"Neuropsychologia", "id" : "ITEM-1", "issue" : "April", "issued" : { "date-parts" : [ [ "2017" ] ] }, "page" : "111-129", "title" : "Brain connections of words, perceptions and actions: A neurobiological model of spatio-temporal semantic activation in the human cortex", "type" : "article-journal", "volume" : "98" }, "uris" : [ "http://www.mendeley.com/documents/?uuid=d40add22-d615-41bc-8a72-daad31f31798" ] }, { "id" : "ITEM-2", "itemData" : { "DOI" : "10.1111/j.1460-9568.2008.06015.x", "ISBN" : "0953-816X", "ISSN" : "0953816X", "PMID" : "18215243", "abstract" : "Meaningful familiar stimuli and senseless unknown materials lead to different patterns of brain activation. A late major neurophysiological response indexing 'sense' is the negative component of event-related potential peaking at around 400 ms (N400), an event-related potential that emerges in attention-demanding tasks and is larger for senseless materials (e.g. meaningless pseudowords) than for matched meaningful stimuli (words). However, the mismatch negativity (latency 100-250 ms), an early automatic brain response elicited under distraction, is larger to words than to pseudowords, thus exhibiting the opposite pattern to that seen for the N400. So far, no theoretical account has been able to reconcile and explain these findings by means of a single, mechanistic neural model. We implemented a neuroanatomically grounded neural network model of the left perisylvian language cortex and simulated: (i) brain processes of early language acquisition and (ii) cortical responses to familiar word and senseless pseudoword stimuli. We found that variation of the area-specific inhibition (the model correlate of attention) modulated the simulated brain response to words and pseudowords, producing either an N400- or a mismatch negativity-like response depending on the amount of inhibition (i.e. available attentional resources). Our model: (i) provides a unifying explanatory account, at cortical level, of experimental observations that, so far, had not been given a coherent interpretation within a single framework; (ii) demonstrates the viability of purely Hebbian, associative learning in a multilayered neural network architecture; and (iii) makes clear predictions on the effects of attention on latency and magnitude of event-related potentials to lexical items. Such predictions have been confirmed by recent experimental evidence.", "author"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"European Journal of Neuroscience", "id" : "ITEM-2", "issue" : "2", "issued" : { "date-parts" : [ [ "2008", "1" ] ] }, "page" : "492-513", "title" : "A neuroanatomically grounded Hebbian-learning model of attention-language interactions in the human brain", "type" : "article-journal", "volume" : "27" }, "uris" : [ "http://www.mendeley.com/documents/?uuid=14f334ce-cd5a-41d3-9d22-fa7de6bdd740" ] }, { "id" : "ITEM-3", "itemData" : { "DOI" : "10.3389/fncom.2016.00145", "ISSN" : "1662-5188", "PMID" : "28149276", "author" : [ { "dropping-particle" : "", "family" : "Garagnani", "given" : "Max", "non-dropping-particle" : "", "parse-names" : false, "suffix" : "" }, { "dropping-particle" : "", "family" : "Lucchese", "given" : "Guglielmo", "non-dropping-particle" : "", "parse-names" : false, "suffix" : "" }, { "dropping-particle" : "", "family" : "Tomasello", "given" : "Rosario",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"Frontiers in Computational Neuroscience", "id" : "ITEM-3", "issue" : "January", "issued" : { "date-parts" : [ [ "2017" ] ] }, "page" : "1-19", "title" : "A Spiking Neurocomputational Model of High-Frequency Oscillatory Brain Responses to Words and Pseudowords", "type" : "article-journal", "volume" : "10" }, "uris" : [ "http://www.mendeley.com/documents/?uuid=26750ad4-228d-4458-a3cd-c12ae2868f3b" ] } ], "mendeley" : { "formattedCitation" : "(Garagnani et al., 2017, 2008; Tomasello et al., 2017)", "manualFormatting" : "(e.g., Garagnani et al., 2017, 2008; Tomasello et al., 2017)", "plainTextFormattedCitation" : "(Garagnani et al., 2017, 2008; Tomasello et al., 2017)", "previouslyFormattedCitation" : "(Garagnani et al., 2017, 2008; Tomasello et al., 2017)" }, "properties" : {  }, "schema" : "https://github.com/citation-style-language/schema/raw/master/csl-citation.json" }</w:instrText>
      </w:r>
      <w:r w:rsidRPr="007C17A6">
        <w:rPr>
          <w:rFonts w:ascii="Times New Roman" w:hAnsi="Times New Roman" w:cs="Times New Roman"/>
          <w:sz w:val="24"/>
          <w:szCs w:val="24"/>
          <w:lang w:val="en-GB"/>
        </w:rPr>
        <w:fldChar w:fldCharType="separate"/>
      </w:r>
      <w:r w:rsidR="0029361B" w:rsidRPr="007C17A6">
        <w:rPr>
          <w:rFonts w:ascii="Times New Roman" w:hAnsi="Times New Roman" w:cs="Times New Roman"/>
          <w:noProof/>
          <w:sz w:val="24"/>
          <w:szCs w:val="24"/>
          <w:lang w:val="en-GB"/>
        </w:rPr>
        <w:t>(</w:t>
      </w:r>
      <w:r w:rsidR="007F4106" w:rsidRPr="007C17A6">
        <w:rPr>
          <w:rFonts w:ascii="Times New Roman" w:hAnsi="Times New Roman" w:cs="Times New Roman"/>
          <w:noProof/>
          <w:sz w:val="24"/>
          <w:szCs w:val="24"/>
          <w:lang w:val="en-GB"/>
        </w:rPr>
        <w:t xml:space="preserve">e.g., </w:t>
      </w:r>
      <w:r w:rsidR="0029361B" w:rsidRPr="007C17A6">
        <w:rPr>
          <w:rFonts w:ascii="Times New Roman" w:hAnsi="Times New Roman" w:cs="Times New Roman"/>
          <w:noProof/>
          <w:sz w:val="24"/>
          <w:szCs w:val="24"/>
          <w:lang w:val="en-GB"/>
        </w:rPr>
        <w:t>Garagnani et al., 2017, 2008; Tomasello et al., 2017)</w:t>
      </w:r>
      <w:r w:rsidRPr="007C17A6">
        <w:rPr>
          <w:rFonts w:ascii="Times New Roman" w:hAnsi="Times New Roman" w:cs="Times New Roman"/>
          <w:sz w:val="24"/>
          <w:szCs w:val="24"/>
          <w:lang w:val="en-GB"/>
        </w:rPr>
        <w:fldChar w:fldCharType="end"/>
      </w:r>
      <w:r w:rsidR="006A192C" w:rsidRPr="007C17A6">
        <w:rPr>
          <w:rFonts w:ascii="Times New Roman" w:hAnsi="Times New Roman" w:cs="Times New Roman"/>
          <w:sz w:val="24"/>
          <w:szCs w:val="24"/>
          <w:lang w:val="en-GB"/>
        </w:rPr>
        <w:t>. As follow a summary of the six</w:t>
      </w:r>
      <w:r w:rsidR="006A192C" w:rsidRPr="007C17A6">
        <w:rPr>
          <w:rFonts w:ascii="Times New Roman" w:hAnsi="Times New Roman" w:cs="Times New Roman"/>
          <w:color w:val="000000" w:themeColor="text1"/>
          <w:sz w:val="24"/>
          <w:szCs w:val="24"/>
          <w:lang w:val="en-GB"/>
        </w:rPr>
        <w:t xml:space="preserve"> neurobiological principles incorporated in the neural network model:</w:t>
      </w:r>
    </w:p>
    <w:p w14:paraId="73C9A5FA" w14:textId="0B92A78B" w:rsidR="00F80F30" w:rsidRPr="007C17A6" w:rsidRDefault="00E5421A" w:rsidP="00E740D6">
      <w:pPr>
        <w:pStyle w:val="ListParagraph"/>
        <w:numPr>
          <w:ilvl w:val="0"/>
          <w:numId w:val="6"/>
        </w:numPr>
        <w:spacing w:before="120" w:after="120" w:line="240" w:lineRule="auto"/>
        <w:contextualSpacing w:val="0"/>
        <w:jc w:val="both"/>
        <w:rPr>
          <w:rFonts w:ascii="Times New Roman" w:hAnsi="Times New Roman" w:cs="Times New Roman"/>
          <w:sz w:val="24"/>
          <w:szCs w:val="24"/>
          <w:lang w:val="en-GB"/>
        </w:rPr>
      </w:pPr>
      <w:r w:rsidRPr="007C17A6">
        <w:rPr>
          <w:rFonts w:ascii="Times New Roman" w:hAnsi="Times New Roman" w:cs="Times New Roman"/>
          <w:sz w:val="24"/>
          <w:szCs w:val="24"/>
          <w:lang w:val="en-GB"/>
        </w:rPr>
        <w:t xml:space="preserve">Neurophysiological dynamics of spiking pyramidal cells including </w:t>
      </w:r>
      <w:r w:rsidRPr="007C17A6">
        <w:rPr>
          <w:rFonts w:ascii="Times New Roman" w:hAnsi="Times New Roman" w:cs="Times New Roman"/>
          <w:noProof/>
          <w:sz w:val="24"/>
          <w:szCs w:val="24"/>
          <w:lang w:val="en-GB"/>
        </w:rPr>
        <w:t>temporal</w:t>
      </w:r>
      <w:r w:rsidRPr="007C17A6">
        <w:rPr>
          <w:rFonts w:ascii="Times New Roman" w:hAnsi="Times New Roman" w:cs="Times New Roman"/>
          <w:sz w:val="24"/>
          <w:szCs w:val="24"/>
          <w:lang w:val="en-GB"/>
        </w:rPr>
        <w:t xml:space="preserve"> summation of inputs, threshold-based spiking, </w:t>
      </w:r>
      <w:r w:rsidRPr="007C17A6">
        <w:rPr>
          <w:rFonts w:ascii="Times New Roman" w:hAnsi="Times New Roman" w:cs="Times New Roman"/>
          <w:noProof/>
          <w:sz w:val="24"/>
          <w:szCs w:val="24"/>
          <w:lang w:val="en-GB"/>
        </w:rPr>
        <w:t>nonlinear</w:t>
      </w:r>
      <w:r w:rsidRPr="007C17A6">
        <w:rPr>
          <w:rFonts w:ascii="Times New Roman" w:hAnsi="Times New Roman" w:cs="Times New Roman"/>
          <w:sz w:val="24"/>
          <w:szCs w:val="24"/>
          <w:lang w:val="en-GB"/>
        </w:rPr>
        <w:t xml:space="preserve"> transformation of membrane potentials into neuronal outputs</w:t>
      </w:r>
      <w:r w:rsidR="00D54BE4" w:rsidRPr="007C17A6">
        <w:rPr>
          <w:rFonts w:ascii="Times New Roman" w:hAnsi="Times New Roman" w:cs="Times New Roman"/>
          <w:sz w:val="24"/>
          <w:szCs w:val="24"/>
          <w:lang w:val="en-GB"/>
        </w:rPr>
        <w:t>,</w:t>
      </w:r>
      <w:r w:rsidRPr="007C17A6">
        <w:rPr>
          <w:rFonts w:ascii="Times New Roman" w:hAnsi="Times New Roman" w:cs="Times New Roman"/>
          <w:sz w:val="24"/>
          <w:szCs w:val="24"/>
          <w:lang w:val="en-GB"/>
        </w:rPr>
        <w:t xml:space="preserve"> and adaptation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"author" : [ { "dropping-particle" : "", "family" : "Matthews", "given" : "Gary G.", "non-dropping-particle" : "", "parse-names" : false, "suffix" : "" } ], "container-title" : "Blackwell Science", "id" : "ITEM-1", "issued" : { "date-parts" : [ [ "2001" ] ] }, "title" : "Neurobiology: Molecules, Cells, and Systems", "type" : "book" }, "uris" : [ "http://www.mendeley.com/documents/?uuid=c97ee2d2-0693-45d3-9cab-61ea8ee65305" ] }, { "id" : "ITEM-2", "itemData" : { "ISSN" : "0022-3077", "author" : [ { "dropping-particle" : "", "family" : "Connors", "given" : "B W", "non-dropping-particle" : "", "parse-names" : false, "suffix" : "" }, { "dropping-particle" : "", "family" : "Gutnick", "given" : "M J", "non-dropping-particle" : "", "parse-names" : false, "suffix" : "" }, { "dropping-particle" : "", "family" : "Prince", "given" : "D A", "non-dropping-particle" : "", "parse-names" : false, "suffix" : "" } ], "container-title" : "Journal of Neurophysiology", "id" : "ITEM-2", "issue" : "6", "issued" : { "date-parts" : [ [ "1982" ] ] }, "page" : "1302-1320", "publisher" : "Am Physiological Soc", "title" : "Electrophysiological properties of neocortical neurons in vitro", "type" : "article-journal", "volume" : "48" }, "uris" : [ "http://www.mendeley.com/documents/?uuid=d5beadd1-9bcb-41b6-81b9-6a34ec1ec9d8", "http://www.mendeley.com/documents/?uuid=e3e9c431-5b94-44e2-bdd9-42d6d49d86c7", "http://www.mendeley.com/documents/?uuid=d762c42b-4a05-4e86-8ee4-f4f5db2e9fff" ] } ], "mendeley" : { "formattedCitation" : "(Connors et al., 1982; Matthews, 2001)", "plainTextFormattedCitation" : "(Connors et al., 1982; Matthews, 2001)", "previouslyFormattedCitation" : "(Connors et al., 1982; Matthews, 2001)" }, "properties" : {  }, "schema" : "https://github.com/citation-style-language/schema/raw/master/csl-citation.json" }</w:instrText>
      </w:r>
      <w:r w:rsidRPr="007C17A6">
        <w:rPr>
          <w:rFonts w:ascii="Times New Roman" w:hAnsi="Times New Roman" w:cs="Times New Roman"/>
        </w:rPr>
        <w:fldChar w:fldCharType="separate"/>
      </w:r>
      <w:bookmarkStart w:id="46" w:name="__Fieldmark__414_1687356023"/>
      <w:r w:rsidR="00C00A10" w:rsidRPr="007C17A6">
        <w:rPr>
          <w:rFonts w:ascii="Times New Roman" w:hAnsi="Times New Roman" w:cs="Times New Roman"/>
          <w:noProof/>
          <w:sz w:val="24"/>
          <w:szCs w:val="24"/>
          <w:lang w:val="en-GB"/>
        </w:rPr>
        <w:t>(Connors et al., 1982; Matthews, 2001)</w:t>
      </w:r>
      <w:r w:rsidRPr="007C17A6">
        <w:rPr>
          <w:rFonts w:ascii="Times New Roman" w:hAnsi="Times New Roman" w:cs="Times New Roman"/>
        </w:rPr>
        <w:fldChar w:fldCharType="end"/>
      </w:r>
      <w:bookmarkEnd w:id="46"/>
      <w:r w:rsidRPr="007C17A6">
        <w:rPr>
          <w:rFonts w:ascii="Times New Roman" w:hAnsi="Times New Roman" w:cs="Times New Roman"/>
          <w:sz w:val="24"/>
          <w:szCs w:val="24"/>
          <w:lang w:val="en-GB"/>
        </w:rPr>
        <w:t xml:space="preserve">; </w:t>
      </w:r>
    </w:p>
    <w:p w14:paraId="3A0D9DA2" w14:textId="23C97FAF" w:rsidR="00F80F30" w:rsidRPr="007C17A6" w:rsidRDefault="00E5421A" w:rsidP="00E740D6">
      <w:pPr>
        <w:pStyle w:val="ListParagraph"/>
        <w:numPr>
          <w:ilvl w:val="0"/>
          <w:numId w:val="6"/>
        </w:numPr>
        <w:spacing w:before="120" w:after="120" w:line="240" w:lineRule="auto"/>
        <w:contextualSpacing w:val="0"/>
        <w:jc w:val="both"/>
        <w:rPr>
          <w:rFonts w:ascii="Times New Roman" w:hAnsi="Times New Roman" w:cs="Times New Roman"/>
        </w:rPr>
      </w:pPr>
      <w:r w:rsidRPr="007C17A6">
        <w:rPr>
          <w:rFonts w:ascii="Times New Roman" w:hAnsi="Times New Roman" w:cs="Times New Roman"/>
          <w:sz w:val="24"/>
          <w:szCs w:val="24"/>
          <w:lang w:val="en-GB"/>
        </w:rPr>
        <w:t xml:space="preserve">Synaptic modification by way of Hebbian-type learning, including </w:t>
      </w:r>
      <w:r w:rsidR="00B16EA1" w:rsidRPr="007C17A6">
        <w:rPr>
          <w:rFonts w:ascii="Times New Roman" w:hAnsi="Times New Roman" w:cs="Times New Roman"/>
          <w:sz w:val="24"/>
          <w:szCs w:val="24"/>
          <w:lang w:val="en-GB"/>
        </w:rPr>
        <w:t>the two</w:t>
      </w:r>
      <w:r w:rsidR="00D4427D" w:rsidRPr="007C17A6">
        <w:rPr>
          <w:rFonts w:ascii="Times New Roman" w:hAnsi="Times New Roman" w:cs="Times New Roman"/>
          <w:sz w:val="24"/>
          <w:szCs w:val="24"/>
          <w:lang w:val="en-GB"/>
        </w:rPr>
        <w:t xml:space="preserve"> biological mechanisms of</w:t>
      </w:r>
      <w:r w:rsidRPr="007C17A6">
        <w:rPr>
          <w:rFonts w:ascii="Times New Roman" w:hAnsi="Times New Roman" w:cs="Times New Roman"/>
          <w:sz w:val="24"/>
          <w:szCs w:val="24"/>
          <w:lang w:val="en-GB"/>
        </w:rPr>
        <w:t xml:space="preserve"> long-term potentiation</w:t>
      </w:r>
      <w:r w:rsidR="00D4427D" w:rsidRPr="007C17A6">
        <w:rPr>
          <w:rFonts w:ascii="Times New Roman" w:hAnsi="Times New Roman" w:cs="Times New Roman"/>
          <w:sz w:val="24"/>
          <w:szCs w:val="24"/>
          <w:lang w:val="en-GB"/>
        </w:rPr>
        <w:t xml:space="preserve"> (LTP)</w:t>
      </w:r>
      <w:r w:rsidRPr="007C17A6">
        <w:rPr>
          <w:rFonts w:ascii="Times New Roman" w:hAnsi="Times New Roman" w:cs="Times New Roman"/>
          <w:sz w:val="24"/>
          <w:szCs w:val="24"/>
          <w:lang w:val="en-GB"/>
        </w:rPr>
        <w:t xml:space="preserve"> and</w:t>
      </w:r>
      <w:r w:rsidR="00D4427D" w:rsidRPr="007C17A6">
        <w:rPr>
          <w:rFonts w:ascii="Times New Roman" w:hAnsi="Times New Roman" w:cs="Times New Roman"/>
          <w:sz w:val="24"/>
          <w:szCs w:val="24"/>
          <w:lang w:val="en-GB"/>
        </w:rPr>
        <w:t xml:space="preserve"> long-term depression (</w:t>
      </w:r>
      <w:r w:rsidRPr="007C17A6">
        <w:rPr>
          <w:rFonts w:ascii="Times New Roman" w:hAnsi="Times New Roman" w:cs="Times New Roman"/>
          <w:sz w:val="24"/>
          <w:szCs w:val="24"/>
          <w:lang w:val="en-GB"/>
        </w:rPr>
        <w:t xml:space="preserve">LTD)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"author" : [ { "dropping-particle" : "", "family" : "Artola", "given" : "Alain", "non-dropping-particle" : "", "parse-names" : false, "suffix" : "" }, { "dropping-particle" : "", "family" : "Singer", "given" : "Wolf", "non-dropping-particle" : "", "parse-names" : false, "suffix" : "" } ], "container-title" : "Trends Neurosci.", "id" : "ITEM-1", "issued" : { "date-parts" : [ [ "1993" ] ] }, "note" : "In many brain areas, including the cerebellar cortex, neocortex, hippocampus, striatum and nucleus accumbens, brief activation of an excitatory pathway can produce long-term depression (LTD) of synaptic transmission. In most preparations, induction of LTD has been shown to require a minimum level of postsynaptic depolarization and a rise in the intracellular Ca2+ concentration [Ca2+]i in the postsynaptic neurone. Thus, induction conditions resemble those described for the initiation of associative long- term potentiation (LTP). However, data from structures susceptible to both LTD and LTP suggest that a stronger depolarization and a greater increase in [Ca2+]i are required to induce LTP than to initiate LTD. The source of Ca2+ appears to be less critical for the differential induction of LTP and LTD than the amplitude of the Ca2+ surge, since the activation of voltage- and ligand-gated Ca2+ conductances as well as the release from intracellular stores have all been shown to contribute to both LTD and LTP induction. LTD is induceable even at inactive synapses if [Ca2+]i is raised to the appropriate level by antidromic or heterosynaptic activation, or by raising the extracellular Ca2+ concentration [Ca2+]o. These conditions suggest a rule (called here the ABS rule) for activity-dependent synaptic modifications that differs from the classical Hebb rule and that can account for both homosynaptic LTD and LTP as well as for heterosynaptic competition and associativity\nReprint Status: NOT In File", "page" : "480-487", "title" : "Long-Term depression of excitatory synaptic transmission and its relationship to long-term potentiation", "type" : "article-journal", "volume" : "16" }, "uris" : [ "http://www.mendeley.com/documents/?uuid=8a84bc22-42b2-42d9-84f1-35e0eb458e24" ] } ], "mendeley" : { "formattedCitation" : "(Artola and Singer, 1993)", "plainTextFormattedCitation" : "(Artola and Singer, 1993)", "previouslyFormattedCitation" : "(Artola and Singer, 1993)" }, "properties" : {  }, "schema" : "https://github.com/citation-style-language/schema/raw/master/csl-citation.json" }</w:instrText>
      </w:r>
      <w:r w:rsidRPr="007C17A6">
        <w:rPr>
          <w:rFonts w:ascii="Times New Roman" w:hAnsi="Times New Roman" w:cs="Times New Roman"/>
        </w:rPr>
        <w:fldChar w:fldCharType="separate"/>
      </w:r>
      <w:bookmarkStart w:id="47" w:name="__Fieldmark__421_1687356023"/>
      <w:r w:rsidR="00C00A10" w:rsidRPr="007C17A6">
        <w:rPr>
          <w:rFonts w:ascii="Times New Roman" w:hAnsi="Times New Roman" w:cs="Times New Roman"/>
          <w:noProof/>
          <w:sz w:val="24"/>
          <w:szCs w:val="24"/>
          <w:lang w:val="en-GB"/>
        </w:rPr>
        <w:t>(Artola and Singer, 1993)</w:t>
      </w:r>
      <w:r w:rsidRPr="007C17A6">
        <w:rPr>
          <w:rFonts w:ascii="Times New Roman" w:hAnsi="Times New Roman" w:cs="Times New Roman"/>
        </w:rPr>
        <w:fldChar w:fldCharType="end"/>
      </w:r>
      <w:bookmarkEnd w:id="47"/>
      <w:r w:rsidRPr="007C17A6">
        <w:rPr>
          <w:rFonts w:ascii="Times New Roman" w:hAnsi="Times New Roman" w:cs="Times New Roman"/>
          <w:sz w:val="24"/>
          <w:szCs w:val="24"/>
          <w:lang w:val="en-GB"/>
        </w:rPr>
        <w:t>;</w:t>
      </w:r>
    </w:p>
    <w:p w14:paraId="213DEEBA" w14:textId="5A326554" w:rsidR="00F80F30" w:rsidRPr="007C17A6" w:rsidRDefault="00D4427D" w:rsidP="00E740D6">
      <w:pPr>
        <w:pStyle w:val="ListParagraph"/>
        <w:numPr>
          <w:ilvl w:val="0"/>
          <w:numId w:val="6"/>
        </w:numPr>
        <w:spacing w:before="120" w:after="120" w:line="240" w:lineRule="auto"/>
        <w:contextualSpacing w:val="0"/>
        <w:jc w:val="both"/>
        <w:rPr>
          <w:rFonts w:ascii="Times New Roman" w:hAnsi="Times New Roman" w:cs="Times New Roman"/>
        </w:rPr>
      </w:pPr>
      <w:r w:rsidRPr="007C17A6">
        <w:rPr>
          <w:rFonts w:ascii="Times New Roman" w:hAnsi="Times New Roman" w:cs="Times New Roman"/>
          <w:sz w:val="24"/>
          <w:szCs w:val="24"/>
        </w:rPr>
        <w:t>A</w:t>
      </w:r>
      <w:r w:rsidR="00E5421A" w:rsidRPr="007C17A6">
        <w:rPr>
          <w:rFonts w:ascii="Times New Roman" w:hAnsi="Times New Roman" w:cs="Times New Roman"/>
          <w:sz w:val="24"/>
          <w:szCs w:val="24"/>
          <w:lang w:val="en-GB"/>
        </w:rPr>
        <w:t>rea-specific global regulation mechanisms</w:t>
      </w:r>
      <w:r w:rsidRPr="007C17A6">
        <w:rPr>
          <w:rFonts w:ascii="Times New Roman" w:hAnsi="Times New Roman" w:cs="Times New Roman"/>
          <w:sz w:val="24"/>
          <w:szCs w:val="24"/>
          <w:lang w:val="en-GB"/>
        </w:rPr>
        <w:t xml:space="preserve"> and</w:t>
      </w:r>
      <w:r w:rsidR="00E5421A" w:rsidRPr="007C17A6">
        <w:rPr>
          <w:rFonts w:ascii="Times New Roman" w:hAnsi="Times New Roman" w:cs="Times New Roman"/>
          <w:sz w:val="24"/>
          <w:szCs w:val="24"/>
          <w:lang w:val="en-GB"/>
        </w:rPr>
        <w:t xml:space="preserve"> </w:t>
      </w:r>
      <w:r w:rsidRPr="007C17A6">
        <w:rPr>
          <w:rFonts w:ascii="Times New Roman" w:hAnsi="Times New Roman" w:cs="Times New Roman"/>
          <w:sz w:val="24"/>
          <w:szCs w:val="24"/>
          <w:lang w:val="en-GB"/>
        </w:rPr>
        <w:t xml:space="preserve">local lateral inhibition </w:t>
      </w:r>
      <w:r w:rsidR="00E5421A" w:rsidRPr="007C17A6">
        <w:rPr>
          <w:rFonts w:ascii="Times New Roman" w:hAnsi="Times New Roman" w:cs="Times New Roman"/>
          <w:sz w:val="24"/>
          <w:szCs w:val="24"/>
          <w:lang w:val="en-GB"/>
        </w:rPr>
        <w:t xml:space="preserve">(global </w:t>
      </w:r>
      <w:r w:rsidRPr="007C17A6">
        <w:rPr>
          <w:rFonts w:ascii="Times New Roman" w:hAnsi="Times New Roman" w:cs="Times New Roman"/>
          <w:sz w:val="24"/>
          <w:szCs w:val="24"/>
          <w:lang w:val="en-GB"/>
        </w:rPr>
        <w:t xml:space="preserve">and local </w:t>
      </w:r>
      <w:r w:rsidR="00E5421A" w:rsidRPr="007C17A6">
        <w:rPr>
          <w:rFonts w:ascii="Times New Roman" w:hAnsi="Times New Roman" w:cs="Times New Roman"/>
          <w:sz w:val="24"/>
          <w:szCs w:val="24"/>
          <w:lang w:val="en-GB"/>
        </w:rPr>
        <w:t xml:space="preserve">inhibition) </w:t>
      </w:r>
      <w:r w:rsidR="00E5421A"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"ISBN" : "3-540-08757-5", "author" : [ { "dropping-particle" : "", "family" : "Braitenberg", "given" : "V", "non-dropping-particle" : "", "parse-names" : false, "suffix" : "" } ], "container-title" : "Theoretical approaches to complex systems", "editor" : [ { "dropping-particle" : "", "family" : "Heim", "given" : "R", "non-dropping-particle" : "", "parse-names" : false, "suffix" : "" }, { "dropping-particle" : "", "family" : "Palm", "given" : "G", "non-dropping-particle" : "", "parse-names" : false, "suffix" : "" } ], "id" : "ITEM-1", "issued" : { "date-parts" : [ [ "1978" ] ] }, "note" : "Reprint Status:  In File", "page" : "171-188", "publisher" : "Springer", "publisher-place" : "Berlin", "title" : "Cell assemblies in the cerebral cortex", "type" : "chapter", "volume" : "21" }, "uris" : [ "http://www.mendeley.com/documents/?uuid=d846bc2b-9f3a-44a0-a4b3-b0bc8ec0300a" ] }, { "id" : "ITEM-2", "itemData" : { "author" : [ { "dropping-particle" : "", "family" : "Yuille", "given" : "A L", "non-dropping-particle" : "", "parse-names" : false, "suffix" : "" }, { "dropping-particle" : "", "family" : "Geiger", "given" : "D", "non-dropping-particle" : "", "parse-names" : false, "suffix" : "" } ], "container-title" : "The Handbook of Brain Theory and Neural Networks", "editor" : [ { "dropping-particle" : "", "family" : "Arbib", "given" : "M", "non-dropping-particle" : "", "parse-names" : false, "suffix" : "" } ], "id" : "ITEM-2", "issued" : { "date-parts" : [ [ "2003" ] ] }, "page" : "1056-1060", "publisher" : "MIT Press", "publisher-place" : "Cambridge, MA", "title" : "Winner-Take-All Mechanisms", "type" : "chapter" }, "uris" : [ "http://www.mendeley.com/documents/?uuid=48aa3514-90ce-4ac6-8a34-85f9250fe52f" ] } ], "mendeley" : { "formattedCitation" : "(Braitenberg, 1978; Yuille and Geiger, 2003)", "plainTextFormattedCitation" : "(Braitenberg, 1978; Yuille and Geiger, 2003)", "previouslyFormattedCitation" : "(Braitenberg, 1978; Yuille and Geiger, 2003)" }, "properties" : {  }, "schema" : "https://github.com/citation-style-language/schema/raw/master/csl-citation.json" }</w:instrText>
      </w:r>
      <w:r w:rsidR="00E5421A" w:rsidRPr="007C17A6">
        <w:rPr>
          <w:rFonts w:ascii="Times New Roman" w:hAnsi="Times New Roman" w:cs="Times New Roman"/>
        </w:rPr>
        <w:fldChar w:fldCharType="separate"/>
      </w:r>
      <w:bookmarkStart w:id="48" w:name="__Fieldmark__426_1687356023"/>
      <w:r w:rsidR="00C00A10" w:rsidRPr="007C17A6">
        <w:rPr>
          <w:rFonts w:ascii="Times New Roman" w:hAnsi="Times New Roman" w:cs="Times New Roman"/>
          <w:noProof/>
          <w:sz w:val="24"/>
          <w:szCs w:val="24"/>
          <w:lang w:val="en-GB"/>
        </w:rPr>
        <w:t>(Braitenberg, 1978; Yuille and Geiger, 2003)</w:t>
      </w:r>
      <w:r w:rsidR="00E5421A" w:rsidRPr="007C17A6">
        <w:rPr>
          <w:rFonts w:ascii="Times New Roman" w:hAnsi="Times New Roman" w:cs="Times New Roman"/>
        </w:rPr>
        <w:fldChar w:fldCharType="end"/>
      </w:r>
      <w:bookmarkEnd w:id="48"/>
      <w:r w:rsidR="00E5421A" w:rsidRPr="007C17A6">
        <w:rPr>
          <w:rFonts w:ascii="Times New Roman" w:hAnsi="Times New Roman" w:cs="Times New Roman"/>
          <w:sz w:val="24"/>
          <w:szCs w:val="24"/>
          <w:lang w:val="en-GB"/>
        </w:rPr>
        <w:t xml:space="preserve">; </w:t>
      </w:r>
    </w:p>
    <w:p w14:paraId="2832CC6F" w14:textId="26D84275" w:rsidR="00F80F30" w:rsidRPr="007C17A6" w:rsidRDefault="00E5421A" w:rsidP="00E740D6">
      <w:pPr>
        <w:pStyle w:val="ListParagraph"/>
        <w:numPr>
          <w:ilvl w:val="0"/>
          <w:numId w:val="6"/>
        </w:numPr>
        <w:spacing w:before="120" w:after="120" w:line="240" w:lineRule="auto"/>
        <w:contextualSpacing w:val="0"/>
        <w:jc w:val="both"/>
        <w:rPr>
          <w:rFonts w:ascii="Times New Roman" w:hAnsi="Times New Roman" w:cs="Times New Roman"/>
        </w:rPr>
      </w:pPr>
      <w:r w:rsidRPr="007C17A6">
        <w:rPr>
          <w:rFonts w:ascii="Times New Roman" w:hAnsi="Times New Roman" w:cs="Times New Roman"/>
          <w:sz w:val="24"/>
          <w:szCs w:val="24"/>
          <w:lang w:val="en-GB"/>
        </w:rPr>
        <w:t xml:space="preserve">within-area connectivity: a sparse, random and initially weak connectivity was implemented locally, along with a </w:t>
      </w:r>
      <w:r w:rsidRPr="007C17A6">
        <w:rPr>
          <w:rFonts w:ascii="Times New Roman" w:hAnsi="Times New Roman" w:cs="Times New Roman"/>
          <w:noProof/>
          <w:sz w:val="24"/>
          <w:szCs w:val="24"/>
          <w:lang w:val="en-GB"/>
        </w:rPr>
        <w:t>neighbo</w:t>
      </w:r>
      <w:r w:rsidR="00D4427D" w:rsidRPr="007C17A6">
        <w:rPr>
          <w:rFonts w:ascii="Times New Roman" w:hAnsi="Times New Roman" w:cs="Times New Roman"/>
          <w:noProof/>
          <w:sz w:val="24"/>
          <w:szCs w:val="24"/>
          <w:lang w:val="en-GB"/>
        </w:rPr>
        <w:t>u</w:t>
      </w:r>
      <w:r w:rsidRPr="007C17A6">
        <w:rPr>
          <w:rFonts w:ascii="Times New Roman" w:hAnsi="Times New Roman" w:cs="Times New Roman"/>
          <w:noProof/>
          <w:sz w:val="24"/>
          <w:szCs w:val="24"/>
          <w:lang w:val="en-GB"/>
        </w:rPr>
        <w:t>rhood</w:t>
      </w:r>
      <w:r w:rsidRPr="007C17A6">
        <w:rPr>
          <w:rFonts w:ascii="Times New Roman" w:hAnsi="Times New Roman" w:cs="Times New Roman"/>
          <w:sz w:val="24"/>
          <w:szCs w:val="24"/>
          <w:lang w:val="en-GB"/>
        </w:rPr>
        <w:t xml:space="preserve"> bias towards close-by links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"http://dx.doi.org/10.1016/S0361-9230(97)00094-4", "ISSN" : "0361-9230", "abstract" : "In all mammals, much of the neocortex consists of orderly representations or maps of receptor surfaces that are typically topographic at a global level, while being modular at the local level. These representations appear to emerge in development as a result of a few interacting factors, and different aspects of brain maps may be developmentally linked. As a result, evolutionary selection for some map features may require other features that may not be adaptive. Yet, an overall adaptiveness of brain maps seems likely. Most notably, topographic representations permit interconnections between appropriate sets of neurons to be made in a highly efficient manner. Topographic maps provide an especially suitable substrate for the common spatiotemporal computations for neural circuits. Finally, aspects of perception suggest the functional importance of topographic maps.", "author" : [ { "dropping-particle" : "", "family" : "Kaas", "given" : "Jon H", "non-dropping-particle" : "", "parse-names" : false, "suffix" : "" } ], "container-title" : "Brain Research Bulletin", "id" : "ITEM-1", "issue" : "2", "issued" : { "date-parts" : [ [ "1997" ] ] }, "page" : "107-112", "title" : "Topographic Maps are Fundamental to Sensory Processing", "type" : "article-journal", "volume" : "44" }, "uris" : [ "http://www.mendeley.com/documents/?uuid=86dfb375-bafb-45e9-bd01-63015c938fb0", "http://www.mendeley.com/documents/?uuid=d2572864-2785-44f9-aeae-9ccaea696a24" ] }, { "id" : "ITEM-2", "itemData" : { "ISBN" : "3662037351", "author" : [ { "dropping-particle" : "", "family" : "Braitenberg", "given" : "V.", "non-dropping-particle" : "", "parse-names" : false, "suffix" : "" }, { "dropping-particle" : "", "family" : "Sch\u00fcz", "given" : "A.", "non-dropping-particle" : "", "parse-names" : false, "suffix" : "" } ], "id" : "ITEM-2", "issued" : { "date-parts" : [ [ "1998" ] ] }, "page" : "135-137", "publisher" : "Springer", "publisher-place" : "Berlin", "title" : "Cortex: statistics and geometry of neuronal connectivity", "type" : "chapter" }, "uris" : [ "http://www.mendeley.com/documents/?uuid=8a1c3f87-34cc-4109-9f32-63199c749a30" ] } ], "mendeley" : { "formattedCitation" : "(Braitenberg and Sch\u00fcz, 1998; Kaas, 1997)", "plainTextFormattedCitation" : "(Braitenberg and Sch\u00fcz, 1998; Kaas, 1997)", "previouslyFormattedCitation" : "(Braitenberg and Sch\u00fcz, 1998; Kaas, 1997)" }, "properties" : {  }, "schema" : "https://github.com/citation-style-language/schema/raw/master/csl-citation.json" }</w:instrText>
      </w:r>
      <w:r w:rsidRPr="007C17A6">
        <w:rPr>
          <w:rFonts w:ascii="Times New Roman" w:hAnsi="Times New Roman" w:cs="Times New Roman"/>
        </w:rPr>
        <w:fldChar w:fldCharType="separate"/>
      </w:r>
      <w:bookmarkStart w:id="49" w:name="__Fieldmark__434_1687356023"/>
      <w:r w:rsidR="00C00A10" w:rsidRPr="007C17A6">
        <w:rPr>
          <w:rFonts w:ascii="Times New Roman" w:hAnsi="Times New Roman" w:cs="Times New Roman"/>
          <w:noProof/>
          <w:sz w:val="24"/>
          <w:szCs w:val="24"/>
          <w:lang w:val="en-GB"/>
        </w:rPr>
        <w:t>(Braitenberg and Schüz, 1998; Kaas, 1997)</w:t>
      </w:r>
      <w:r w:rsidRPr="007C17A6">
        <w:rPr>
          <w:rFonts w:ascii="Times New Roman" w:hAnsi="Times New Roman" w:cs="Times New Roman"/>
        </w:rPr>
        <w:fldChar w:fldCharType="end"/>
      </w:r>
      <w:bookmarkEnd w:id="49"/>
      <w:r w:rsidRPr="007C17A6">
        <w:rPr>
          <w:rFonts w:ascii="Times New Roman" w:hAnsi="Times New Roman" w:cs="Times New Roman"/>
          <w:sz w:val="24"/>
          <w:szCs w:val="24"/>
          <w:lang w:val="en-GB"/>
        </w:rPr>
        <w:t xml:space="preserve">; </w:t>
      </w:r>
    </w:p>
    <w:p w14:paraId="58B98120" w14:textId="77777777" w:rsidR="00F80F30" w:rsidRPr="007C17A6" w:rsidRDefault="00E5421A" w:rsidP="00E740D6">
      <w:pPr>
        <w:pStyle w:val="ListParagraph"/>
        <w:numPr>
          <w:ilvl w:val="0"/>
          <w:numId w:val="6"/>
        </w:numPr>
        <w:spacing w:before="120" w:after="120" w:line="240" w:lineRule="auto"/>
        <w:contextualSpacing w:val="0"/>
        <w:jc w:val="both"/>
        <w:rPr>
          <w:rFonts w:ascii="Times New Roman" w:hAnsi="Times New Roman" w:cs="Times New Roman"/>
        </w:rPr>
      </w:pPr>
      <w:r w:rsidRPr="007C17A6">
        <w:rPr>
          <w:rFonts w:ascii="Times New Roman" w:hAnsi="Times New Roman" w:cs="Times New Roman"/>
          <w:sz w:val="24"/>
          <w:szCs w:val="24"/>
          <w:lang w:val="en-GB"/>
        </w:rPr>
        <w:t xml:space="preserve">between-area connectivity based on neurophysiological principles and motivated by neuroanatomical evidence; and </w:t>
      </w:r>
    </w:p>
    <w:p w14:paraId="16264925" w14:textId="1087DD7A" w:rsidR="00E740D6" w:rsidRPr="007C17A6" w:rsidRDefault="00E5421A" w:rsidP="00E740D6">
      <w:pPr>
        <w:pStyle w:val="ListParagraph"/>
        <w:numPr>
          <w:ilvl w:val="0"/>
          <w:numId w:val="6"/>
        </w:numPr>
        <w:spacing w:before="120" w:after="120" w:line="240" w:lineRule="auto"/>
        <w:contextualSpacing w:val="0"/>
        <w:jc w:val="both"/>
        <w:rPr>
          <w:rFonts w:ascii="Times New Roman" w:hAnsi="Times New Roman" w:cs="Times New Roman"/>
        </w:rPr>
      </w:pPr>
      <w:bookmarkStart w:id="50" w:name="OLE_LINK14"/>
      <w:bookmarkStart w:id="51" w:name="OLE_LINK15"/>
      <w:r w:rsidRPr="007C17A6">
        <w:rPr>
          <w:rFonts w:ascii="Times New Roman" w:hAnsi="Times New Roman" w:cs="Times New Roman"/>
          <w:noProof/>
          <w:sz w:val="24"/>
          <w:szCs w:val="24"/>
          <w:lang w:val="en-GB"/>
        </w:rPr>
        <w:t>uncorrelated</w:t>
      </w:r>
      <w:r w:rsidRPr="007C17A6">
        <w:rPr>
          <w:rFonts w:ascii="Times New Roman" w:hAnsi="Times New Roman" w:cs="Times New Roman"/>
          <w:sz w:val="24"/>
          <w:szCs w:val="24"/>
          <w:lang w:val="en-GB"/>
        </w:rPr>
        <w:t xml:space="preserve"> white noise</w:t>
      </w:r>
      <w:r w:rsidR="00B16EA1" w:rsidRPr="007C17A6">
        <w:rPr>
          <w:rFonts w:ascii="Times New Roman" w:hAnsi="Times New Roman" w:cs="Times New Roman"/>
          <w:sz w:val="24"/>
          <w:szCs w:val="24"/>
          <w:lang w:val="en-GB"/>
        </w:rPr>
        <w:t xml:space="preserve"> was constant present</w:t>
      </w:r>
      <w:r w:rsidRPr="007C17A6">
        <w:rPr>
          <w:rFonts w:ascii="Times New Roman" w:hAnsi="Times New Roman" w:cs="Times New Roman"/>
          <w:sz w:val="24"/>
          <w:szCs w:val="24"/>
          <w:lang w:val="en-GB"/>
        </w:rPr>
        <w:t xml:space="preserve"> in all neurons during all </w:t>
      </w:r>
      <w:r w:rsidR="00B16EA1" w:rsidRPr="007C17A6">
        <w:rPr>
          <w:rFonts w:ascii="Times New Roman" w:hAnsi="Times New Roman" w:cs="Times New Roman"/>
          <w:sz w:val="24"/>
          <w:szCs w:val="24"/>
          <w:lang w:val="en-GB"/>
        </w:rPr>
        <w:t>stages</w:t>
      </w:r>
      <w:r w:rsidRPr="007C17A6">
        <w:rPr>
          <w:rFonts w:ascii="Times New Roman" w:hAnsi="Times New Roman" w:cs="Times New Roman"/>
          <w:sz w:val="24"/>
          <w:szCs w:val="24"/>
          <w:lang w:val="en-GB"/>
        </w:rPr>
        <w:t xml:space="preserve"> of learning </w:t>
      </w:r>
      <w:bookmarkEnd w:id="50"/>
      <w:bookmarkEnd w:id="51"/>
      <w:r w:rsidRPr="007C17A6">
        <w:rPr>
          <w:rFonts w:ascii="Times New Roman" w:hAnsi="Times New Roman" w:cs="Times New Roman"/>
          <w:sz w:val="24"/>
          <w:szCs w:val="24"/>
          <w:lang w:val="en-GB"/>
        </w:rPr>
        <w:t xml:space="preserve">and </w:t>
      </w:r>
      <w:r w:rsidR="00D050D1" w:rsidRPr="007C17A6">
        <w:rPr>
          <w:rFonts w:ascii="Times New Roman" w:hAnsi="Times New Roman" w:cs="Times New Roman"/>
          <w:noProof/>
          <w:sz w:val="24"/>
          <w:szCs w:val="24"/>
          <w:lang w:val="en-GB"/>
        </w:rPr>
        <w:t>retrieval</w:t>
      </w:r>
      <w:r w:rsidRPr="007C17A6">
        <w:rPr>
          <w:rFonts w:ascii="Times New Roman" w:hAnsi="Times New Roman" w:cs="Times New Roman"/>
          <w:sz w:val="24"/>
          <w:szCs w:val="24"/>
          <w:lang w:val="en-GB"/>
        </w:rPr>
        <w:t xml:space="preserve"> </w:t>
      </w:r>
      <w:r w:rsidR="00B16EA1" w:rsidRPr="007C17A6">
        <w:rPr>
          <w:rFonts w:ascii="Times New Roman" w:hAnsi="Times New Roman" w:cs="Times New Roman"/>
          <w:sz w:val="24"/>
          <w:szCs w:val="24"/>
          <w:lang w:val="en-GB"/>
        </w:rPr>
        <w:t>with</w:t>
      </w:r>
      <w:r w:rsidRPr="007C17A6">
        <w:rPr>
          <w:rFonts w:ascii="Times New Roman" w:hAnsi="Times New Roman" w:cs="Times New Roman"/>
          <w:sz w:val="24"/>
          <w:szCs w:val="24"/>
          <w:lang w:val="en-GB"/>
        </w:rPr>
        <w:t xml:space="preserve"> additional noise added to the stimulus patterns to mimic </w:t>
      </w:r>
      <w:r w:rsidR="00D4427D" w:rsidRPr="007C17A6">
        <w:rPr>
          <w:rFonts w:ascii="Times New Roman" w:hAnsi="Times New Roman" w:cs="Times New Roman"/>
          <w:noProof/>
          <w:sz w:val="24"/>
          <w:szCs w:val="24"/>
          <w:lang w:val="en-GB"/>
        </w:rPr>
        <w:t>uncorrelated</w:t>
      </w:r>
      <w:r w:rsidR="00D4427D" w:rsidRPr="007C17A6">
        <w:rPr>
          <w:rFonts w:ascii="Times New Roman" w:hAnsi="Times New Roman" w:cs="Times New Roman"/>
          <w:sz w:val="24"/>
          <w:szCs w:val="24"/>
          <w:lang w:val="en-GB"/>
        </w:rPr>
        <w:t xml:space="preserve"> </w:t>
      </w:r>
      <w:r w:rsidRPr="007C17A6">
        <w:rPr>
          <w:rFonts w:ascii="Times New Roman" w:hAnsi="Times New Roman" w:cs="Times New Roman"/>
          <w:sz w:val="24"/>
          <w:szCs w:val="24"/>
          <w:lang w:val="en-GB"/>
        </w:rPr>
        <w:t xml:space="preserve">input conditions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"author" : [ { "dropping-particle" : "", "family" : "Rolls", "given" : "Edmund T", "non-dropping-particle" : "", "parse-names" : false, "suffix" : "" }, { "dropping-particle" : "", "family" : "Deco", "given" : "Gustavo", "non-dropping-particle" : "", "parse-names" : false, "suffix" : "" } ], "id" : "ITEM-1", "issued" : { "date-parts" : [ [ "2010" ] ] }, "publisher" : "Oxford University Press", "publisher-place" : "Oxford", "title" : "The Noisy Brain: Stochastic Dynamics as a Princple of Brain Function", "type" : "book" }, "uris" : [ "http://www.mendeley.com/documents/?uuid=bea9beb5-d454-40ee-89e0-7033ee38f245" ] } ], "mendeley" : { "formattedCitation" : "(Rolls and Deco, 2010)", "plainTextFormattedCitation" : "(Rolls and Deco, 2010)", "previouslyFormattedCitation" : "(Rolls and Deco, 2010)" }, "properties" : {  }, "schema" : "https://github.com/citation-style-language/schema/raw/master/csl-citation.json" }</w:instrText>
      </w:r>
      <w:r w:rsidRPr="007C17A6">
        <w:rPr>
          <w:rFonts w:ascii="Times New Roman" w:hAnsi="Times New Roman" w:cs="Times New Roman"/>
        </w:rPr>
        <w:fldChar w:fldCharType="separate"/>
      </w:r>
      <w:bookmarkStart w:id="52" w:name="__Fieldmark__441_1687356023"/>
      <w:r w:rsidR="00C00A10" w:rsidRPr="007C17A6">
        <w:rPr>
          <w:rFonts w:ascii="Times New Roman" w:hAnsi="Times New Roman" w:cs="Times New Roman"/>
          <w:noProof/>
          <w:sz w:val="24"/>
          <w:szCs w:val="24"/>
          <w:lang w:val="en-GB"/>
        </w:rPr>
        <w:t>(Rolls and Deco, 2010)</w:t>
      </w:r>
      <w:r w:rsidRPr="007C17A6">
        <w:rPr>
          <w:rFonts w:ascii="Times New Roman" w:hAnsi="Times New Roman" w:cs="Times New Roman"/>
        </w:rPr>
        <w:fldChar w:fldCharType="end"/>
      </w:r>
      <w:bookmarkEnd w:id="52"/>
      <w:r w:rsidRPr="007C17A6">
        <w:rPr>
          <w:rFonts w:ascii="Times New Roman" w:hAnsi="Times New Roman" w:cs="Times New Roman"/>
          <w:sz w:val="24"/>
          <w:szCs w:val="24"/>
          <w:lang w:val="en-GB"/>
        </w:rPr>
        <w:t>.</w:t>
      </w:r>
    </w:p>
    <w:p w14:paraId="1F7327C1" w14:textId="40EAFA1E" w:rsidR="00A838DC" w:rsidRPr="007C17A6" w:rsidRDefault="00E5421A" w:rsidP="00E740D6">
      <w:pPr>
        <w:spacing w:before="120" w:after="120" w:line="240" w:lineRule="auto"/>
        <w:contextualSpacing/>
        <w:jc w:val="both"/>
        <w:rPr>
          <w:rFonts w:ascii="Times New Roman" w:hAnsi="Times New Roman" w:cs="Times New Roman"/>
        </w:rPr>
      </w:pPr>
      <w:r w:rsidRPr="007C17A6">
        <w:rPr>
          <w:rFonts w:ascii="Times New Roman" w:hAnsi="Times New Roman" w:cs="Times New Roman"/>
          <w:sz w:val="24"/>
          <w:szCs w:val="24"/>
          <w:lang w:val="en-GB"/>
        </w:rPr>
        <w:t xml:space="preserve">Note that the connectivity structure implemented in the network </w:t>
      </w:r>
      <w:r w:rsidRPr="007C17A6">
        <w:rPr>
          <w:rFonts w:ascii="Times New Roman" w:hAnsi="Times New Roman" w:cs="Times New Roman"/>
          <w:sz w:val="24"/>
          <w:szCs w:val="24"/>
          <w:lang w:val="en-GB" w:eastAsia="zh-CN"/>
        </w:rPr>
        <w:t xml:space="preserve">reflects existing anatomical pathways between corresponding cortical areas of the cortex revealed by neuroanatomical studies using </w:t>
      </w:r>
      <w:r w:rsidRPr="007C17A6">
        <w:rPr>
          <w:rFonts w:ascii="Times New Roman" w:hAnsi="Times New Roman" w:cs="Times New Roman"/>
          <w:sz w:val="24"/>
          <w:szCs w:val="24"/>
          <w:lang w:val="en-GB"/>
        </w:rPr>
        <w:t xml:space="preserve">diffusion tensor and </w:t>
      </w:r>
      <w:r w:rsidRPr="007C17A6">
        <w:rPr>
          <w:rFonts w:ascii="Times New Roman" w:hAnsi="Times New Roman" w:cs="Times New Roman"/>
          <w:noProof/>
          <w:sz w:val="24"/>
          <w:szCs w:val="24"/>
          <w:lang w:val="en-GB"/>
        </w:rPr>
        <w:t>diffusion</w:t>
      </w:r>
      <w:r w:rsidR="00D050D1" w:rsidRPr="007C17A6">
        <w:rPr>
          <w:rFonts w:ascii="Times New Roman" w:hAnsi="Times New Roman" w:cs="Times New Roman"/>
          <w:noProof/>
          <w:sz w:val="24"/>
          <w:szCs w:val="24"/>
          <w:lang w:val="en-GB"/>
        </w:rPr>
        <w:t>-</w:t>
      </w:r>
      <w:r w:rsidRPr="007C17A6">
        <w:rPr>
          <w:rFonts w:ascii="Times New Roman" w:hAnsi="Times New Roman" w:cs="Times New Roman"/>
          <w:noProof/>
          <w:sz w:val="24"/>
          <w:szCs w:val="24"/>
          <w:lang w:val="en-GB"/>
        </w:rPr>
        <w:t>weighted</w:t>
      </w:r>
      <w:r w:rsidRPr="007C17A6">
        <w:rPr>
          <w:rFonts w:ascii="Times New Roman" w:hAnsi="Times New Roman" w:cs="Times New Roman"/>
          <w:sz w:val="24"/>
          <w:szCs w:val="24"/>
          <w:lang w:val="en-GB"/>
        </w:rPr>
        <w:t xml:space="preserve"> imaging (DTI/DWI) in humans and non-human primates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"10.3389/fnevo.2011.00011", "ISBN" : "1663-070X (Electronic)\\r1663-070X (Linking)", "ISSN" : "1663-070X", "PMID" : "22319495", "abstract" : "Recently, the assumption of evolutionary continuity between humans and non-human primates has been used to bolster the hypothesis that human language is mediated especially by the ventral extreme capsule pathway that mediates auditory object recognition in macaques. Here, we argue for the importance of evolutionary divergence in understanding brain language evolution. We present new comparative data reinforcing our previous conclusion that the dorsal arcuate fasciculus pathway was more significantly modified than the ventral extreme capsule pathway in human evolution. Twenty-six adult human and twenty-six adult chimpanzees were imaged with diffusion-weighted MRI and probabilistic tractography was used to track and compare the dorsal and ventral language pathways. Based on these and other data, we argue that the arcuate fasciculus is likely to be the pathway most essential for higher-order aspects of human language such as syntax and lexical-semantics.", "author" : [ { "dropping-particle" : "", "family" : "Rilling", "given" : "James K", "non-dropping-particle" : "", "parse-names" : false, "suffix" : "" }, { "dropping-particle" : "", "family" : "Glasser", "given" : "Matthew F", "non-dropping-particle" : "", "parse-names" : false, "suffix" : "" }, { "dropping-particle" : "", "family" : "Jbabdi", "given" : "Saad", "non-dropping-particle" : "", "parse-names" : false, "suffix" : "" }, { "dropping-particle" : "", "family" : "Andersson", "given" : "Jesper", "non-dropping-particle" : "", "parse-names" : false, "suffix" : "" }, { "dropping-particle" : "", "family" : "Preuss", "given" : "Todd M", "non-dropping-particle" : "", "parse-names" : false, "suffix" : "" } ], "container-title" : "Frontiers in evolutionary neuroscience", "id" : "ITEM-1", "issue" : "February 2016", "issued" : { "date-parts" : [ [ "2011" ] ] }, "page" : "11", "title" : "Continuity, divergence, and the evolution of brain language pathways.", "type" : "article-journal", "volume" : "3" }, "uris" : [ "http://www.mendeley.com/documents/?uuid=70278982-4de3-4819-b308-0b33828604a5", "http://www.mendeley.com/documents/?uuid=4cd0894b-4dc2-4634-a417-7e08b2dfa924" ] }, { "id" : "ITEM-2", "itemData" : { "DOI" : "10.1016/j.cortex.2011.10.001", "ISBN" : "0010-9452", "ISSN" : "00109452", "PMID" : "22088488", "abstract" : "The greater expansion of the frontal lobes along the phylogeny scale has been interpreted as the signature of evolutionary changes underlying higher cognitive abilities in humans functions in humans. However, it is unknown how an increase in number of gyri, sulci and cortical areas in the frontal lobe have coincided with a parallel increase in connectivity. Here, using advanced tractography based on spherical deconvolution, we produced an atlas of human frontal association connections that we compared with axonal tracing studies of the monkey brain. We report several similarities between human and monkey in the cingulum, uncinate, superior longitudinal fasciculus, frontal aslant tract and orbito-polar tract. These similarities suggest to preserved functions across anthropoids. In addition, we found major differences in the arcuate fasciculus and the inferior fronto-occipital fasciculus. These differences indicate possible evolutionary changes in the connectional anatomy of the frontal lobes underlying unique human abilities. ?? 2011 Elsevier Srl.", "author" : [ { "dropping-particle" : "", "family" : "Thiebaut de Schotten", "given" : "Michel", "non-dropping-particle" : "", "parse-names" : false, "suffix" : "" }, { "dropping-particle" : "", "family" : "Dell'Acqua", "given" : "Flavio", "non-dropping-particle" : "", "parse-names" : false, "suffix" : "" }, { "dropping-particle" : "", "family" : "Valabregue", "given" : "Romain", "non-dropping-particle" : "", "parse-names" : false, "suffix" : "" }, { "dropping-particle" : "", "family" : "Catani", "given" : "Marco", "non-dropping-particle" : "", "parse-names" : false, "suffix" : "" } ], "container-title" : "Cortex", "id" : "ITEM-2", "issue" : "1", "issued" : { "date-parts" : [ [ "2012" ] ] }, "page" : "82-96", "publisher" : "Elsevier Srl", "title" : "Monkey to human comparative anatomy of the frontal lobe association tracts", "type" : "article-journal", "volume" : "48" }, "uris" : [ "http://www.mendeley.com/documents/?uuid=cbdaecf9-0c90-4ef0-9c8a-0f00023b9781" ] } ], "mendeley" : { "formattedCitation" : "(Rilling et al., 2011; Thiebaut de Schotten et al., 2012)", "plainTextFormattedCitation" : "(Rilling et al., 2011; Thiebaut de Schotten et al., 2012)", "previouslyFormattedCitation" : "(Rilling et al., 2011; Thiebaut de Schotten et al., 2012)" }, "properties" : {  }, "schema" : "https://github.com/citation-style-language/schema/raw/master/csl-citation.json" }</w:instrText>
      </w:r>
      <w:r w:rsidRPr="007C17A6">
        <w:rPr>
          <w:rFonts w:ascii="Times New Roman" w:hAnsi="Times New Roman" w:cs="Times New Roman"/>
        </w:rPr>
        <w:fldChar w:fldCharType="separate"/>
      </w:r>
      <w:bookmarkStart w:id="53" w:name="__Fieldmark__448_1687356023"/>
      <w:r w:rsidR="00C00A10" w:rsidRPr="007C17A6">
        <w:rPr>
          <w:rFonts w:ascii="Times New Roman" w:hAnsi="Times New Roman" w:cs="Times New Roman"/>
          <w:noProof/>
          <w:sz w:val="24"/>
          <w:szCs w:val="24"/>
          <w:lang w:val="en-GB"/>
        </w:rPr>
        <w:t>(Rilling et al., 2011; Thiebaut de Schotten et al., 2012)</w:t>
      </w:r>
      <w:r w:rsidRPr="007C17A6">
        <w:rPr>
          <w:rFonts w:ascii="Times New Roman" w:hAnsi="Times New Roman" w:cs="Times New Roman"/>
        </w:rPr>
        <w:fldChar w:fldCharType="end"/>
      </w:r>
      <w:bookmarkEnd w:id="53"/>
      <w:r w:rsidRPr="007C17A6">
        <w:rPr>
          <w:rFonts w:ascii="Times New Roman" w:hAnsi="Times New Roman" w:cs="Times New Roman"/>
          <w:sz w:val="24"/>
          <w:szCs w:val="24"/>
          <w:lang w:val="en-GB"/>
        </w:rPr>
        <w:t xml:space="preserve">. A detailed description of the single-neuron properties, synaptic plasticity rule, and single-area model structure is provided next, followed by </w:t>
      </w:r>
      <w:r w:rsidR="000F7CB9" w:rsidRPr="007C17A6">
        <w:rPr>
          <w:rFonts w:ascii="Times New Roman" w:hAnsi="Times New Roman" w:cs="Times New Roman"/>
          <w:sz w:val="24"/>
          <w:szCs w:val="24"/>
          <w:lang w:val="en-GB"/>
        </w:rPr>
        <w:t xml:space="preserve">details of the </w:t>
      </w:r>
      <w:r w:rsidRPr="007C17A6">
        <w:rPr>
          <w:rFonts w:ascii="Times New Roman" w:hAnsi="Times New Roman" w:cs="Times New Roman"/>
          <w:sz w:val="24"/>
          <w:szCs w:val="24"/>
          <w:lang w:val="en-GB"/>
        </w:rPr>
        <w:t>network anatomy and connectivity structure.</w:t>
      </w:r>
    </w:p>
    <w:p w14:paraId="1FC8DB86" w14:textId="77777777" w:rsidR="00A838DC" w:rsidRPr="007C17A6" w:rsidRDefault="00E5421A" w:rsidP="00E740D6">
      <w:pPr>
        <w:pStyle w:val="Heading2"/>
        <w:spacing w:line="240" w:lineRule="auto"/>
        <w:contextualSpacing/>
        <w:rPr>
          <w:rFonts w:ascii="Times New Roman" w:hAnsi="Times New Roman" w:cs="Times New Roman"/>
          <w:b/>
          <w:color w:val="auto"/>
          <w:sz w:val="24"/>
          <w:szCs w:val="24"/>
        </w:rPr>
      </w:pPr>
      <w:bookmarkStart w:id="54" w:name="OLE_LINK1"/>
      <w:r w:rsidRPr="007C17A6">
        <w:rPr>
          <w:rFonts w:ascii="Times New Roman" w:hAnsi="Times New Roman" w:cs="Times New Roman"/>
          <w:b/>
          <w:color w:val="auto"/>
          <w:sz w:val="24"/>
          <w:szCs w:val="24"/>
        </w:rPr>
        <w:t>Structure and function of the spiking model</w:t>
      </w:r>
    </w:p>
    <w:bookmarkEnd w:id="54"/>
    <w:p w14:paraId="1BFC2294" w14:textId="5DD7E837" w:rsidR="00B30D84" w:rsidRPr="007C17A6" w:rsidRDefault="00B30D84" w:rsidP="0077421C">
      <w:pPr>
        <w:spacing w:before="120" w:after="120" w:line="240" w:lineRule="auto"/>
        <w:contextualSpacing/>
        <w:jc w:val="both"/>
        <w:rPr>
          <w:rFonts w:ascii="Times New Roman" w:hAnsi="Times New Roman" w:cs="Times New Roman"/>
          <w:sz w:val="24"/>
          <w:szCs w:val="24"/>
          <w:lang w:val="en-GB" w:eastAsia="en-GB"/>
        </w:rPr>
      </w:pPr>
      <w:r w:rsidRPr="007C17A6">
        <w:rPr>
          <w:rFonts w:ascii="Times New Roman" w:hAnsi="Times New Roman" w:cs="Times New Roman"/>
          <w:sz w:val="24"/>
          <w:szCs w:val="24"/>
          <w:lang w:val="en-GB"/>
        </w:rPr>
        <w:t xml:space="preserve">Each of the 12 model areas consists of two layers </w:t>
      </w:r>
      <w:r w:rsidRPr="007C17A6">
        <w:rPr>
          <w:rFonts w:ascii="Times New Roman" w:hAnsi="Times New Roman" w:cs="Times New Roman"/>
          <w:sz w:val="24"/>
          <w:szCs w:val="24"/>
          <w:lang w:val="en-GB" w:eastAsia="en-GB"/>
        </w:rPr>
        <w:t xml:space="preserve">of artificial neuron-like elements (“cells”), 625 excitatory and 625 inhibitory </w:t>
      </w:r>
      <w:r w:rsidRPr="007C17A6">
        <w:rPr>
          <w:rFonts w:ascii="Times New Roman" w:hAnsi="Times New Roman" w:cs="Times New Roman"/>
          <w:sz w:val="24"/>
          <w:szCs w:val="24"/>
          <w:lang w:val="en-GB"/>
        </w:rPr>
        <w:t>(</w:t>
      </w:r>
      <w:r w:rsidRPr="007C17A6">
        <w:rPr>
          <w:rFonts w:ascii="Times New Roman" w:hAnsi="Times New Roman" w:cs="Times New Roman"/>
          <w:i/>
          <w:sz w:val="24"/>
          <w:szCs w:val="24"/>
          <w:lang w:val="en-GB"/>
        </w:rPr>
        <w:t>e</w:t>
      </w:r>
      <w:r w:rsidRPr="007C17A6">
        <w:rPr>
          <w:rFonts w:ascii="Times New Roman" w:hAnsi="Times New Roman" w:cs="Times New Roman"/>
          <w:sz w:val="24"/>
          <w:szCs w:val="24"/>
          <w:lang w:val="en-GB"/>
        </w:rPr>
        <w:t xml:space="preserve">- and </w:t>
      </w:r>
      <w:proofErr w:type="spellStart"/>
      <w:r w:rsidRPr="007C17A6">
        <w:rPr>
          <w:rFonts w:ascii="Times New Roman" w:hAnsi="Times New Roman" w:cs="Times New Roman"/>
          <w:i/>
          <w:sz w:val="24"/>
          <w:szCs w:val="24"/>
          <w:lang w:val="en-GB"/>
        </w:rPr>
        <w:t>i</w:t>
      </w:r>
      <w:proofErr w:type="spellEnd"/>
      <w:r w:rsidRPr="007C17A6">
        <w:rPr>
          <w:rFonts w:ascii="Times New Roman" w:hAnsi="Times New Roman" w:cs="Times New Roman"/>
          <w:sz w:val="24"/>
          <w:szCs w:val="24"/>
          <w:lang w:val="en-GB"/>
        </w:rPr>
        <w:t>-cells)</w:t>
      </w:r>
      <w:r w:rsidRPr="007C17A6">
        <w:rPr>
          <w:rFonts w:ascii="Times New Roman" w:hAnsi="Times New Roman" w:cs="Times New Roman"/>
          <w:sz w:val="24"/>
          <w:szCs w:val="24"/>
          <w:lang w:val="en-GB" w:eastAsia="en-GB"/>
        </w:rPr>
        <w:t xml:space="preserve">, thus resulting in 15,000 cells in total (see Fig 1C). </w:t>
      </w:r>
      <w:r w:rsidRPr="007C17A6">
        <w:rPr>
          <w:rFonts w:ascii="Times New Roman" w:hAnsi="Times New Roman" w:cs="Times New Roman"/>
          <w:sz w:val="24"/>
          <w:szCs w:val="24"/>
          <w:lang w:val="en-GB"/>
        </w:rPr>
        <w:t xml:space="preserve">Each </w:t>
      </w:r>
      <w:r w:rsidRPr="007C17A6">
        <w:rPr>
          <w:rFonts w:ascii="Times New Roman" w:hAnsi="Times New Roman" w:cs="Times New Roman"/>
          <w:i/>
          <w:sz w:val="24"/>
          <w:szCs w:val="24"/>
          <w:lang w:val="en-GB"/>
        </w:rPr>
        <w:t>e</w:t>
      </w:r>
      <w:r w:rsidRPr="007C17A6">
        <w:rPr>
          <w:rFonts w:ascii="Times New Roman" w:hAnsi="Times New Roman" w:cs="Times New Roman"/>
          <w:sz w:val="24"/>
          <w:szCs w:val="24"/>
          <w:lang w:val="en-GB"/>
        </w:rPr>
        <w:t xml:space="preserve">-cell models a single representative pyramidal spiking neuron situated in a local patch of the </w:t>
      </w:r>
      <w:r w:rsidRPr="007C17A6">
        <w:rPr>
          <w:rFonts w:ascii="Times New Roman" w:hAnsi="Times New Roman" w:cs="Times New Roman"/>
          <w:noProof/>
          <w:sz w:val="24"/>
          <w:szCs w:val="24"/>
          <w:lang w:val="en-GB"/>
        </w:rPr>
        <w:t>cortex</w:t>
      </w:r>
      <w:r w:rsidRPr="007C17A6">
        <w:rPr>
          <w:rFonts w:ascii="Times New Roman" w:hAnsi="Times New Roman" w:cs="Times New Roman"/>
          <w:sz w:val="24"/>
          <w:szCs w:val="24"/>
          <w:lang w:val="en-GB"/>
        </w:rPr>
        <w:t xml:space="preserve"> and the underlying </w:t>
      </w:r>
      <w:proofErr w:type="spellStart"/>
      <w:r w:rsidRPr="007C17A6">
        <w:rPr>
          <w:rFonts w:ascii="Times New Roman" w:hAnsi="Times New Roman" w:cs="Times New Roman"/>
          <w:i/>
          <w:sz w:val="24"/>
          <w:szCs w:val="24"/>
          <w:lang w:val="en-GB"/>
        </w:rPr>
        <w:t>i</w:t>
      </w:r>
      <w:proofErr w:type="spellEnd"/>
      <w:r w:rsidRPr="007C17A6">
        <w:rPr>
          <w:rFonts w:ascii="Times New Roman" w:hAnsi="Times New Roman" w:cs="Times New Roman"/>
          <w:sz w:val="24"/>
          <w:szCs w:val="24"/>
          <w:lang w:val="en-GB"/>
        </w:rPr>
        <w:t xml:space="preserve">-cell represents the cluster of inhibitory interneurons located within the same cortical column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"10.1103/PhysRevE.61.1855", "ISSN" : "1063-651X", "PMID" : "11046472", "abstract" : "Starting from single, spiking neurons, we derive a system of coupled differential equations for a description of the dynamics of pools of extensively many equivalent neurons. Contrary to previous work, the derivation is exact and takes into account microscopic properties of single neurons, such as axonal delays and refractory behavior. Simulations show a good quantitative agreement with microscopically modeled pools of spiking neurons. The agreement holds both in the quasistationary and nonstationary dynamical regimes, including fast transients and oscillations. The model is compared with other pool models based on differential equations. It turns out that models of the graded-response category can be understood as a first-order approximation of our pool dynamics. Furthermore, the present formalism gives rise to a system of equations that can be reduced straightforwardly so as to gain a description of the pool dynamics to any desired order of approximation. Finally, we present a stability criterion that is suitable for handling pools of neurons. Due to its exact derivation from single-neuron dynamics, the present model opens simulation possibilities for studies that rely upon biologically realistic large-scale networks composed of assemblies of spiking neurons.", "author" : [ { "dropping-particle" : "", "family" : "Eggert", "given" : "J", "non-dropping-particle" : "", "parse-names" : false, "suffix" : "" }, { "dropping-particle" : "", "family" : "Hemmen", "given" : "J L", "non-dropping-particle" : "van", "parse-names" : false, "suffix" : "" } ], "container-title" : "Physical review. E, Statistical physics, plasmas, fluids, and related interdisciplinary topics", "id" : "ITEM-1", "issue" : "2", "issued" : { "date-parts" : [ [ "2000" ] ] }, "page" : "1855-1874", "publisher" : "APS", "title" : "Unifying framework for neuronal assembly dynamics.", "type" : "article-journal", "volume" : "61" }, "uris" : [ "http://www.mendeley.com/documents/?uuid=977d7ac4-75df-4956-b616-4f3044fe2f48" ] }, { "id" : "ITEM-2", "itemData" : { "DOI" : "10.1016/S0006-3495(72)86068-5", "ISBN" : "0006-3495", "ISSN" : "0006-3495", "PMID" : "4332108", "abstract" : "Coupled nonlinear differential equations are derived for the dynamics of spatially localized populations containing both excitatory and inhibitory model neurons. Phase plane methods and numerical solutions are then used to investigate population responses to various types of stimuli. The results obtained show simple and multiple hysteresis phenomena and limit cycle activity. The latter is particularly interesting since the frequency of the limit cycle oscillation is found to be a monotonic function of stimulus intensity. Finally, it is proved that the existence of limit cycle dynamics in response to one class of stimuli implies the existence of multiple stable states and hysteresis in response to a different class of stimuli. The relation between these findings and a number of experiments is discussed.", "author" : [ { "dropping-particle" : "", "family" : "Wilson", "given" : "H R", "non-dropping-particle" : "", "parse-names" : false, "suffix" : "" }, { "dropping-particle" : "", "family" : "Cowan", "given" : "J D", "non-dropping-particle" : "", "parse-names" : false, "suffix" : "" } ], "container-title" : "Biophysical journal", "id" : "ITEM-2", "issue" : "1", "issued" : { "date-parts" : [ [ "1972" ] ] }, "page" : "1-24", "publisher" : "The Biophysical Society", "title" : "Excitatory and inhibitory interactions in localized populations of model neurons.", "type" : "article-journal", "volume" : "12" }, "uris" : [ "http://www.mendeley.com/documents/?uuid=9f7d5b89-e49d-4c8e-bd8b-cf30cd9ce5fe" ] } ], "mendeley" : { "formattedCitation" : "(Eggert and van Hemmen, 2000; Wilson and Cowan, 1972)", "plainTextFormattedCitation" : "(Eggert and van Hemmen, 2000; Wilson and Cowan, 1972)", "previouslyFormattedCitation" : "(Eggert and van Hemmen, 2000; Wilson and Cowan, 1972)" }, "properties" : {  }, "schema" : "https://github.com/citation-style-language/schema/raw/master/csl-citation.json" }</w:instrText>
      </w:r>
      <w:r w:rsidRPr="007C17A6">
        <w:rPr>
          <w:rFonts w:ascii="Times New Roman" w:hAnsi="Times New Roman" w:cs="Times New Roman"/>
        </w:rPr>
        <w:fldChar w:fldCharType="separate"/>
      </w:r>
      <w:bookmarkStart w:id="55" w:name="__Fieldmark__644_582625014"/>
      <w:r w:rsidR="001C3C6B" w:rsidRPr="007C17A6">
        <w:rPr>
          <w:rFonts w:ascii="Times New Roman" w:hAnsi="Times New Roman" w:cs="Times New Roman"/>
          <w:noProof/>
          <w:sz w:val="24"/>
          <w:szCs w:val="24"/>
          <w:lang w:val="en-GB"/>
        </w:rPr>
        <w:t>(Eggert and van Hemmen, 2000; Wilson and Cowan, 1972)</w:t>
      </w:r>
      <w:r w:rsidRPr="007C17A6">
        <w:rPr>
          <w:rFonts w:ascii="Times New Roman" w:hAnsi="Times New Roman" w:cs="Times New Roman"/>
        </w:rPr>
        <w:fldChar w:fldCharType="end"/>
      </w:r>
      <w:bookmarkEnd w:id="55"/>
      <w:r w:rsidRPr="007C17A6">
        <w:rPr>
          <w:rFonts w:ascii="Times New Roman" w:hAnsi="Times New Roman" w:cs="Times New Roman"/>
          <w:sz w:val="24"/>
          <w:szCs w:val="24"/>
          <w:lang w:val="en-GB"/>
        </w:rPr>
        <w:t xml:space="preserve">. </w:t>
      </w:r>
      <w:r w:rsidRPr="007C17A6">
        <w:rPr>
          <w:rFonts w:ascii="Times New Roman" w:hAnsi="Times New Roman" w:cs="Times New Roman"/>
          <w:sz w:val="24"/>
          <w:szCs w:val="24"/>
          <w:lang w:val="en-GB" w:eastAsia="en-GB"/>
        </w:rPr>
        <w:t xml:space="preserve">The state of each cell </w:t>
      </w:r>
      <w:r w:rsidRPr="007C17A6">
        <w:rPr>
          <w:rFonts w:ascii="Times New Roman" w:hAnsi="Times New Roman" w:cs="Times New Roman"/>
          <w:i/>
          <w:sz w:val="24"/>
          <w:szCs w:val="24"/>
          <w:lang w:val="en-GB" w:eastAsia="en-GB"/>
        </w:rPr>
        <w:t>x</w:t>
      </w:r>
      <w:r w:rsidRPr="007C17A6">
        <w:rPr>
          <w:rFonts w:ascii="Times New Roman" w:hAnsi="Times New Roman" w:cs="Times New Roman"/>
          <w:sz w:val="24"/>
          <w:szCs w:val="24"/>
          <w:lang w:val="en-GB" w:eastAsia="en-GB"/>
        </w:rPr>
        <w:t xml:space="preserve"> at time </w:t>
      </w:r>
      <w:r w:rsidRPr="007C17A6">
        <w:rPr>
          <w:rFonts w:ascii="Times New Roman" w:hAnsi="Times New Roman" w:cs="Times New Roman"/>
          <w:i/>
          <w:sz w:val="24"/>
          <w:szCs w:val="24"/>
          <w:lang w:val="en-GB" w:eastAsia="en-GB"/>
        </w:rPr>
        <w:t>t</w:t>
      </w:r>
      <w:r w:rsidRPr="007C17A6">
        <w:rPr>
          <w:rFonts w:ascii="Times New Roman" w:hAnsi="Times New Roman" w:cs="Times New Roman"/>
          <w:sz w:val="24"/>
          <w:szCs w:val="24"/>
          <w:lang w:val="en-GB" w:eastAsia="en-GB"/>
        </w:rPr>
        <w:t xml:space="preserve"> </w:t>
      </w:r>
      <w:r w:rsidRPr="007C17A6">
        <w:rPr>
          <w:rFonts w:ascii="Times New Roman" w:hAnsi="Times New Roman" w:cs="Times New Roman"/>
          <w:noProof/>
          <w:sz w:val="24"/>
          <w:szCs w:val="24"/>
          <w:lang w:val="en-GB" w:eastAsia="en-GB"/>
        </w:rPr>
        <w:t>is uniquely defined</w:t>
      </w:r>
      <w:r w:rsidRPr="007C17A6">
        <w:rPr>
          <w:rFonts w:ascii="Times New Roman" w:hAnsi="Times New Roman" w:cs="Times New Roman"/>
          <w:sz w:val="24"/>
          <w:szCs w:val="24"/>
          <w:lang w:val="en-GB" w:eastAsia="en-GB"/>
        </w:rPr>
        <w:t xml:space="preserve"> by its membrane potential </w:t>
      </w:r>
      <w:r w:rsidRPr="007C17A6">
        <w:rPr>
          <w:rFonts w:ascii="Times New Roman" w:hAnsi="Times New Roman" w:cs="Times New Roman"/>
          <w:i/>
          <w:sz w:val="24"/>
          <w:szCs w:val="24"/>
          <w:lang w:val="en-GB" w:eastAsia="en-GB"/>
        </w:rPr>
        <w:t>V</w:t>
      </w:r>
      <w:r w:rsidRPr="007C17A6">
        <w:rPr>
          <w:rFonts w:ascii="Times New Roman" w:hAnsi="Times New Roman" w:cs="Times New Roman"/>
          <w:sz w:val="24"/>
          <w:szCs w:val="24"/>
          <w:lang w:val="en-GB" w:eastAsia="en-GB"/>
        </w:rPr>
        <w:t>(</w:t>
      </w:r>
      <w:proofErr w:type="spellStart"/>
      <w:r w:rsidRPr="007C17A6">
        <w:rPr>
          <w:rFonts w:ascii="Times New Roman" w:hAnsi="Times New Roman" w:cs="Times New Roman"/>
          <w:i/>
          <w:sz w:val="24"/>
          <w:szCs w:val="24"/>
          <w:lang w:val="en-GB" w:eastAsia="en-GB"/>
        </w:rPr>
        <w:t>x,t</w:t>
      </w:r>
      <w:proofErr w:type="spellEnd"/>
      <w:r w:rsidRPr="007C17A6">
        <w:rPr>
          <w:rFonts w:ascii="Times New Roman" w:hAnsi="Times New Roman" w:cs="Times New Roman"/>
          <w:sz w:val="24"/>
          <w:szCs w:val="24"/>
          <w:lang w:val="en-GB" w:eastAsia="en-GB"/>
        </w:rPr>
        <w:t>), specified by the following equation:</w:t>
      </w:r>
    </w:p>
    <w:p w14:paraId="32C74954" w14:textId="77777777" w:rsidR="00B30D84" w:rsidRPr="007C17A6" w:rsidRDefault="00B30D84" w:rsidP="00E740D6">
      <w:pPr>
        <w:spacing w:before="120" w:after="120" w:line="240" w:lineRule="auto"/>
        <w:ind w:firstLine="288"/>
        <w:contextualSpacing/>
        <w:jc w:val="center"/>
      </w:pPr>
      <w:r w:rsidRPr="007C17A6">
        <w:rPr>
          <w:noProof/>
          <w:sz w:val="24"/>
          <w:szCs w:val="24"/>
        </w:rPr>
        <mc:AlternateContent>
          <mc:Choice Requires="wps">
            <w:drawing>
              <wp:anchor distT="635" distB="0" distL="114300" distR="114935" simplePos="0" relativeHeight="251659264" behindDoc="0" locked="0" layoutInCell="1" allowOverlap="1" wp14:anchorId="793106EB" wp14:editId="68E34D72">
                <wp:simplePos x="0" y="0"/>
                <wp:positionH relativeFrom="column">
                  <wp:posOffset>4848860</wp:posOffset>
                </wp:positionH>
                <wp:positionV relativeFrom="paragraph">
                  <wp:posOffset>69850</wp:posOffset>
                </wp:positionV>
                <wp:extent cx="409575" cy="191135"/>
                <wp:effectExtent l="0" t="0" r="0" b="12065"/>
                <wp:wrapNone/>
                <wp:docPr id="3" name="Rectangle 16"/>
                <wp:cNvGraphicFramePr/>
                <a:graphic xmlns:a="http://schemas.openxmlformats.org/drawingml/2006/main">
                  <a:graphicData uri="http://schemas.microsoft.com/office/word/2010/wordprocessingShape">
                    <wps:wsp>
                      <wps:cNvSpPr/>
                      <wps:spPr>
                        <a:xfrm>
                          <a:off x="0" y="0"/>
                          <a:ext cx="409575" cy="19113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2CBBB2E" w14:textId="77777777" w:rsidR="000A22B8" w:rsidRDefault="000A22B8" w:rsidP="00B30D84">
                            <w:pPr>
                              <w:pStyle w:val="FrameContents"/>
                            </w:pPr>
                            <w:r>
                              <w:rPr>
                                <w:rFonts w:ascii="Arial" w:hAnsi="Arial" w:cs="Arial"/>
                                <w:color w:val="auto"/>
                              </w:rPr>
                              <w:t>(B1)</w:t>
                            </w:r>
                          </w:p>
                        </w:txbxContent>
                      </wps:txbx>
                      <wps:bodyPr lIns="0" tIns="0" rIns="0" bIns="0">
                        <a:noAutofit/>
                      </wps:bodyPr>
                    </wps:wsp>
                  </a:graphicData>
                </a:graphic>
              </wp:anchor>
            </w:drawing>
          </mc:Choice>
          <mc:Fallback>
            <w:pict>
              <v:rect w14:anchorId="793106EB" id="Rectangle 16" o:spid="_x0000_s1026" style="position:absolute;left:0;text-align:left;margin-left:381.8pt;margin-top:5.5pt;width:32.25pt;height:15.05pt;z-index:251659264;visibility:visible;mso-wrap-style:square;mso-wrap-distance-left:9pt;mso-wrap-distance-top:.05pt;mso-wrap-distance-right:9.05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E9X5wEAADoEAAAOAAAAZHJzL2Uyb0RvYy54bWysU8Fu3CAQvVfqPyDuXdtJN02s9UZVo60q&#13;&#10;VW2UtB+AMdhIwCAga+/fd8BeJ21PqboHdsDz3vDeDLvbyWhyFD4osA2tNiUlwnLolO0b+vPH4d01&#13;&#10;JSEy2zENVjT0JAK93b99sxtdLS5gAN0JT5DEhnp0DR1idHVRBD4Iw8IGnLD4UYI3LOLW90Xn2Yjs&#13;&#10;RhcXZXlVjOA754GLEPD0bv5I95lfSsHjdymDiEQ3FO8W8+rz2qa12O9Y3XvmBsWXa7B/uIVhymLR&#13;&#10;leqORUaevPqLyijuIYCMGw6mACkVF1kDqqnKP9Q8DsyJrAXNCW61Kfw/Wv7teO+J6hp6SYllBlv0&#13;&#10;gKYx22tBqqvkz+hCjWmP7t4vu4BhEjtJb9I/yiBT9vS0eiqmSDgevi9vth+2lHD8VN1U1eU2cRbP&#13;&#10;YOdD/CzAkBQ01GP17CQ7fg1xTj2npFoBtOoOSuu88X37SXtyZNjeQ/4t7L+laZuSLSTYzJhOiiRs&#13;&#10;lpKjeNIi5Wn7ICRakhXlKnwpM88NDjZO0nl6UEkGpESJ/K/ELpCEFnlcX4lfQbk+2LjijbLgsxsv&#13;&#10;1KUwTu20NLKF7oTt118sjlR6HufAn4N2CRK9hY9PEaTKXUlMM3xxEgc093V5TOkFvNznrOcnv/8F&#13;&#10;AAD//wMAUEsDBBQABgAIAAAAIQDo2qkE4AAAAA4BAAAPAAAAZHJzL2Rvd25yZXYueG1sTI/NTsMw&#13;&#10;EITvSLyDtUjcqOOCQpTGqRAF9UwAcXXjJQ74J4qd1vD0LCe4rLSa2dn5mm12lh1xjmPwEsSqAIa+&#13;&#10;D3r0g4SX58erClhMymtlg0cJXxhh256fNarW4eSf8NilgVGIj7WSYFKaas5jb9CpuAoTetLew+xU&#13;&#10;onUeuJ7VicKd5euiKLlTo6cPRk14b7D/7BYnYS92D9MH/+7U3iZcXk3u7VuW8vIi7zY07jbAEub0&#13;&#10;dwG/DNQfWip2CIvXkVkJt+V1SVYSBIGRoVpXAthBwo0QwNuG/8dofwAAAP//AwBQSwECLQAUAAYA&#13;&#10;CAAAACEAtoM4kv4AAADhAQAAEwAAAAAAAAAAAAAAAAAAAAAAW0NvbnRlbnRfVHlwZXNdLnhtbFBL&#13;&#10;AQItABQABgAIAAAAIQA4/SH/1gAAAJQBAAALAAAAAAAAAAAAAAAAAC8BAABfcmVscy8ucmVsc1BL&#13;&#10;AQItABQABgAIAAAAIQAtkE9X5wEAADoEAAAOAAAAAAAAAAAAAAAAAC4CAABkcnMvZTJvRG9jLnht&#13;&#10;bFBLAQItABQABgAIAAAAIQDo2qkE4AAAAA4BAAAPAAAAAAAAAAAAAAAAAEEEAABkcnMvZG93bnJl&#13;&#10;di54bWxQSwUGAAAAAAQABADzAAAATgUAAAAA&#13;&#10;" stroked="f">
                <v:textbox inset="0,0,0,0">
                  <w:txbxContent>
                    <w:p w14:paraId="22CBBB2E" w14:textId="77777777" w:rsidR="000A22B8" w:rsidRDefault="000A22B8" w:rsidP="00B30D84">
                      <w:pPr>
                        <w:pStyle w:val="FrameContents"/>
                      </w:pPr>
                      <w:r>
                        <w:rPr>
                          <w:rFonts w:ascii="Arial" w:hAnsi="Arial" w:cs="Arial"/>
                          <w:color w:val="auto"/>
                        </w:rPr>
                        <w:t>(B1)</w:t>
                      </w:r>
                    </w:p>
                  </w:txbxContent>
                </v:textbox>
              </v:rect>
            </w:pict>
          </mc:Fallback>
        </mc:AlternateContent>
      </w:r>
      <m:oMath>
        <m:r>
          <w:rPr>
            <w:rFonts w:ascii="Cambria Math" w:hAnsi="Cambria Math" w:cs="Times New Roman"/>
            <w:sz w:val="24"/>
            <w:szCs w:val="24"/>
          </w:rPr>
          <m:t>τ⋅</m:t>
        </m:r>
        <m:f>
          <m:fPr>
            <m:ctrlPr>
              <w:rPr>
                <w:rFonts w:ascii="Cambria Math" w:hAnsi="Cambria Math" w:cs="Times New Roman"/>
                <w:sz w:val="24"/>
                <w:szCs w:val="24"/>
              </w:rPr>
            </m:ctrlPr>
          </m:fPr>
          <m:num>
            <m:r>
              <w:rPr>
                <w:rFonts w:ascii="Cambria Math" w:hAnsi="Cambria Math" w:cs="Times New Roman"/>
                <w:sz w:val="24"/>
                <w:szCs w:val="24"/>
                <w:lang w:val="de-DE"/>
              </w:rPr>
              <m:t>dV</m:t>
            </m:r>
            <m:r>
              <w:rPr>
                <w:rFonts w:ascii="Cambria Math" w:hAnsi="Cambria Math" w:cs="Times New Roman"/>
                <w:sz w:val="24"/>
                <w:szCs w:val="24"/>
              </w:rPr>
              <m:t>(x,t)</m:t>
            </m:r>
          </m:num>
          <m:den>
            <m:r>
              <w:rPr>
                <w:rFonts w:ascii="Cambria Math" w:hAnsi="Cambria Math" w:cs="Times New Roman"/>
                <w:sz w:val="24"/>
                <w:szCs w:val="24"/>
                <w:lang w:val="de-DE"/>
              </w:rPr>
              <m:t>dt</m:t>
            </m:r>
          </m:den>
        </m:f>
        <m:r>
          <w:rPr>
            <w:rFonts w:ascii="Cambria Math" w:hAnsi="Cambria Math" w:cs="Times New Roman"/>
            <w:sz w:val="24"/>
            <w:szCs w:val="24"/>
          </w:rPr>
          <m:t>=-V(x,t)+</m:t>
        </m:r>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lang w:val="de-DE"/>
              </w:rPr>
              <m:t>In</m:t>
            </m:r>
          </m:sub>
        </m:sSub>
        <m:r>
          <w:rPr>
            <w:rFonts w:ascii="Cambria Math" w:hAnsi="Cambria Math" w:cs="Times New Roman"/>
            <w:sz w:val="24"/>
            <w:szCs w:val="24"/>
          </w:rPr>
          <m:t>(x,t)+</m:t>
        </m:r>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η(x,t))</m:t>
        </m:r>
      </m:oMath>
      <w:bookmarkStart w:id="56" w:name="__UnoMark__664_582625014"/>
      <w:bookmarkEnd w:id="56"/>
    </w:p>
    <w:p w14:paraId="6B7DF28A" w14:textId="77777777" w:rsidR="00E740D6" w:rsidRPr="007C17A6" w:rsidRDefault="00E740D6" w:rsidP="00E740D6">
      <w:pPr>
        <w:spacing w:before="120" w:after="120" w:line="240" w:lineRule="auto"/>
        <w:ind w:firstLine="288"/>
        <w:contextualSpacing/>
        <w:jc w:val="both"/>
        <w:rPr>
          <w:rFonts w:ascii="Times New Roman" w:hAnsi="Times New Roman" w:cs="Times New Roman"/>
          <w:sz w:val="24"/>
          <w:szCs w:val="24"/>
          <w:lang w:val="en-GB" w:eastAsia="en-GB"/>
        </w:rPr>
      </w:pPr>
    </w:p>
    <w:p w14:paraId="2254F2E2" w14:textId="77777777" w:rsidR="00B30D84" w:rsidRPr="007C17A6" w:rsidRDefault="00B30D84" w:rsidP="0077421C">
      <w:pPr>
        <w:spacing w:before="120" w:after="120" w:line="240" w:lineRule="auto"/>
        <w:contextualSpacing/>
        <w:jc w:val="both"/>
      </w:pPr>
      <w:r w:rsidRPr="007C17A6">
        <w:rPr>
          <w:rFonts w:ascii="Times New Roman" w:hAnsi="Times New Roman" w:cs="Times New Roman"/>
          <w:noProof/>
          <w:sz w:val="24"/>
          <w:szCs w:val="24"/>
          <w:lang w:val="en-GB" w:eastAsia="en-GB"/>
        </w:rPr>
        <w:t xml:space="preserve">where </w:t>
      </w:r>
      <w:r w:rsidRPr="007C17A6">
        <w:rPr>
          <w:rFonts w:ascii="Times New Roman" w:hAnsi="Times New Roman" w:cs="Times New Roman"/>
          <w:i/>
          <w:noProof/>
          <w:sz w:val="24"/>
          <w:szCs w:val="24"/>
          <w:lang w:val="en-GB" w:eastAsia="en-GB"/>
        </w:rPr>
        <w:t>V</w:t>
      </w:r>
      <w:r w:rsidRPr="007C17A6">
        <w:rPr>
          <w:rFonts w:ascii="Times New Roman" w:hAnsi="Times New Roman" w:cs="Times New Roman"/>
          <w:i/>
          <w:noProof/>
          <w:sz w:val="24"/>
          <w:szCs w:val="24"/>
          <w:vertAlign w:val="subscript"/>
          <w:lang w:val="en-GB" w:eastAsia="en-GB"/>
        </w:rPr>
        <w:t xml:space="preserve">In </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x,t</w:t>
      </w:r>
      <w:r w:rsidRPr="007C17A6">
        <w:rPr>
          <w:rFonts w:ascii="Times New Roman" w:hAnsi="Times New Roman" w:cs="Times New Roman"/>
          <w:noProof/>
          <w:sz w:val="24"/>
          <w:szCs w:val="24"/>
          <w:lang w:val="en-GB" w:eastAsia="en-GB"/>
        </w:rPr>
        <w:t xml:space="preserve">) is the net input acting upon cell </w:t>
      </w:r>
      <w:r w:rsidRPr="007C17A6">
        <w:rPr>
          <w:rFonts w:ascii="Times New Roman" w:hAnsi="Times New Roman" w:cs="Times New Roman"/>
          <w:i/>
          <w:noProof/>
          <w:sz w:val="24"/>
          <w:szCs w:val="24"/>
          <w:lang w:val="en-GB" w:eastAsia="en-GB"/>
        </w:rPr>
        <w:t>x</w:t>
      </w:r>
      <w:r w:rsidRPr="007C17A6">
        <w:rPr>
          <w:rFonts w:ascii="Times New Roman" w:hAnsi="Times New Roman" w:cs="Times New Roman"/>
          <w:noProof/>
          <w:sz w:val="24"/>
          <w:szCs w:val="24"/>
          <w:lang w:val="en-GB" w:eastAsia="en-GB"/>
        </w:rPr>
        <w:t xml:space="preserve"> at time </w:t>
      </w:r>
      <w:r w:rsidRPr="007C17A6">
        <w:rPr>
          <w:rFonts w:ascii="Times New Roman" w:hAnsi="Times New Roman" w:cs="Times New Roman"/>
          <w:i/>
          <w:noProof/>
          <w:sz w:val="24"/>
          <w:szCs w:val="24"/>
          <w:lang w:val="en-GB" w:eastAsia="en-GB"/>
        </w:rPr>
        <w:t>t</w:t>
      </w:r>
      <w:r w:rsidRPr="007C17A6">
        <w:rPr>
          <w:rFonts w:ascii="Times New Roman" w:hAnsi="Times New Roman" w:cs="Times New Roman"/>
          <w:noProof/>
          <w:sz w:val="24"/>
          <w:szCs w:val="24"/>
          <w:lang w:val="en-GB" w:eastAsia="en-GB"/>
        </w:rPr>
        <w:t xml:space="preserve"> (sum of all inhibitory and excitatory postsynaptic potentials – I/EPSPs; inhibitory synapses are given a negative sign), </w:t>
      </w:r>
      <w:r w:rsidRPr="007C17A6">
        <w:rPr>
          <w:rFonts w:ascii="Times New Roman" w:hAnsi="Times New Roman" w:cs="Times New Roman"/>
          <w:i/>
          <w:noProof/>
          <w:sz w:val="24"/>
          <w:szCs w:val="24"/>
          <w:lang w:val="en-GB" w:eastAsia="en-GB"/>
        </w:rPr>
        <w:t>τ</w:t>
      </w:r>
      <w:r w:rsidRPr="007C17A6">
        <w:rPr>
          <w:rFonts w:ascii="Times New Roman" w:hAnsi="Times New Roman" w:cs="Times New Roman"/>
          <w:noProof/>
          <w:sz w:val="24"/>
          <w:szCs w:val="24"/>
          <w:lang w:val="en-GB" w:eastAsia="en-GB"/>
        </w:rPr>
        <w:t xml:space="preserve"> is the membrane’s time constant, </w:t>
      </w:r>
      <w:r w:rsidRPr="007C17A6">
        <w:rPr>
          <w:rFonts w:ascii="Times New Roman" w:hAnsi="Times New Roman" w:cs="Times New Roman"/>
          <w:i/>
          <w:noProof/>
          <w:sz w:val="24"/>
          <w:szCs w:val="24"/>
          <w:lang w:val="en-GB" w:eastAsia="en-GB"/>
        </w:rPr>
        <w:t>k</w:t>
      </w:r>
      <w:r w:rsidRPr="007C17A6">
        <w:rPr>
          <w:rFonts w:ascii="Times New Roman" w:hAnsi="Times New Roman" w:cs="Times New Roman"/>
          <w:noProof/>
          <w:sz w:val="24"/>
          <w:szCs w:val="24"/>
          <w:vertAlign w:val="subscript"/>
          <w:lang w:val="en-GB" w:eastAsia="en-GB"/>
        </w:rPr>
        <w:t>1</w:t>
      </w:r>
      <w:r w:rsidRPr="007C17A6">
        <w:rPr>
          <w:rFonts w:ascii="Times New Roman" w:hAnsi="Times New Roman" w:cs="Times New Roman"/>
          <w:noProof/>
          <w:sz w:val="24"/>
          <w:szCs w:val="24"/>
          <w:lang w:val="en-GB" w:eastAsia="en-GB"/>
        </w:rPr>
        <w:t xml:space="preserve">, </w:t>
      </w:r>
      <w:r w:rsidRPr="007C17A6">
        <w:rPr>
          <w:rFonts w:ascii="Times New Roman" w:hAnsi="Times New Roman" w:cs="Times New Roman"/>
          <w:i/>
          <w:noProof/>
          <w:sz w:val="24"/>
          <w:szCs w:val="24"/>
          <w:lang w:val="en-GB" w:eastAsia="en-GB"/>
        </w:rPr>
        <w:t>k</w:t>
      </w:r>
      <w:r w:rsidRPr="007C17A6">
        <w:rPr>
          <w:rFonts w:ascii="Times New Roman" w:hAnsi="Times New Roman" w:cs="Times New Roman"/>
          <w:noProof/>
          <w:sz w:val="24"/>
          <w:szCs w:val="24"/>
          <w:vertAlign w:val="subscript"/>
          <w:lang w:val="en-GB" w:eastAsia="en-GB"/>
        </w:rPr>
        <w:t xml:space="preserve">2 </w:t>
      </w:r>
      <w:r w:rsidRPr="007C17A6">
        <w:rPr>
          <w:rFonts w:ascii="Times New Roman" w:hAnsi="Times New Roman" w:cs="Times New Roman"/>
          <w:noProof/>
          <w:sz w:val="24"/>
          <w:szCs w:val="24"/>
          <w:lang w:val="en-GB" w:eastAsia="en-GB"/>
        </w:rPr>
        <w:t xml:space="preserve">are scaling values (see Table 1  for the specific parameter values </w:t>
      </w:r>
      <w:r w:rsidRPr="007C17A6">
        <w:rPr>
          <w:rFonts w:ascii="Times New Roman" w:hAnsi="Times New Roman" w:cs="Times New Roman"/>
          <w:noProof/>
          <w:sz w:val="24"/>
          <w:szCs w:val="24"/>
          <w:lang w:val="en-GB" w:eastAsia="en-GB"/>
        </w:rPr>
        <w:lastRenderedPageBreak/>
        <w:t xml:space="preserve">used in the simulations) and </w:t>
      </w:r>
      <w:r w:rsidRPr="007C17A6">
        <w:rPr>
          <w:rFonts w:ascii="Symbol" w:eastAsia="Symbol" w:hAnsi="Symbol" w:cs="Symbol"/>
          <w:i/>
          <w:noProof/>
          <w:sz w:val="24"/>
          <w:szCs w:val="24"/>
          <w:lang w:val="en-GB" w:eastAsia="en-GB"/>
        </w:rPr>
        <w:t></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t</w:t>
      </w:r>
      <w:r w:rsidRPr="007C17A6">
        <w:rPr>
          <w:rFonts w:ascii="Times New Roman" w:hAnsi="Times New Roman" w:cs="Times New Roman"/>
          <w:noProof/>
          <w:sz w:val="24"/>
          <w:szCs w:val="24"/>
          <w:lang w:val="en-GB" w:eastAsia="en-GB"/>
        </w:rPr>
        <w:t>)</w:t>
      </w:r>
      <w:r w:rsidRPr="007C17A6">
        <w:rPr>
          <w:noProof/>
          <w:sz w:val="24"/>
          <w:szCs w:val="24"/>
          <w:lang w:val="en-GB" w:eastAsia="en-GB"/>
        </w:rPr>
        <w:t xml:space="preserve"> </w:t>
      </w:r>
      <w:r w:rsidRPr="007C17A6">
        <w:rPr>
          <w:rFonts w:ascii="Times New Roman" w:hAnsi="Times New Roman" w:cs="Times New Roman"/>
          <w:noProof/>
          <w:sz w:val="24"/>
          <w:szCs w:val="24"/>
          <w:lang w:val="en-GB" w:eastAsia="en-GB"/>
        </w:rPr>
        <w:t>is a white noise process with uniform distribution over [-0.5,0.5].</w:t>
      </w:r>
      <w:r w:rsidRPr="007C17A6">
        <w:rPr>
          <w:rFonts w:ascii="Times New Roman" w:hAnsi="Times New Roman" w:cs="Times New Roman"/>
          <w:sz w:val="24"/>
          <w:szCs w:val="24"/>
          <w:lang w:val="en-GB" w:eastAsia="en-GB"/>
        </w:rPr>
        <w:t xml:space="preserve"> </w:t>
      </w:r>
      <w:r w:rsidRPr="007C17A6">
        <w:rPr>
          <w:rFonts w:ascii="Times New Roman" w:hAnsi="Times New Roman" w:cs="Times New Roman"/>
          <w:noProof/>
          <w:sz w:val="24"/>
          <w:szCs w:val="24"/>
          <w:lang w:val="en-GB" w:eastAsia="en-GB"/>
        </w:rPr>
        <w:t xml:space="preserve">Note that noise is an inherent property of each model cell, intended to mimic the spontaneous activity (baseline firing) of real neurons. Therefore, noise was constantly present in all areas, in equal amounts (inhibitory cells have </w:t>
      </w:r>
      <w:r w:rsidRPr="007C17A6">
        <w:rPr>
          <w:rFonts w:ascii="Times New Roman" w:hAnsi="Times New Roman" w:cs="Times New Roman"/>
          <w:i/>
          <w:noProof/>
          <w:sz w:val="24"/>
          <w:szCs w:val="24"/>
          <w:lang w:val="en-GB" w:eastAsia="en-GB"/>
        </w:rPr>
        <w:t>k</w:t>
      </w:r>
      <w:r w:rsidRPr="007C17A6">
        <w:rPr>
          <w:rFonts w:ascii="Times New Roman" w:hAnsi="Times New Roman" w:cs="Times New Roman"/>
          <w:noProof/>
          <w:sz w:val="24"/>
          <w:szCs w:val="24"/>
          <w:vertAlign w:val="subscript"/>
          <w:lang w:val="en-GB" w:eastAsia="en-GB"/>
        </w:rPr>
        <w:t>2</w:t>
      </w:r>
      <w:r w:rsidRPr="007C17A6">
        <w:rPr>
          <w:rFonts w:ascii="Times New Roman" w:hAnsi="Times New Roman" w:cs="Times New Roman"/>
          <w:i/>
          <w:noProof/>
          <w:sz w:val="24"/>
          <w:szCs w:val="24"/>
          <w:lang w:val="en-GB" w:eastAsia="en-GB"/>
        </w:rPr>
        <w:t>=</w:t>
      </w:r>
      <w:r w:rsidRPr="007C17A6">
        <w:rPr>
          <w:rFonts w:ascii="Times New Roman" w:hAnsi="Times New Roman" w:cs="Times New Roman"/>
          <w:noProof/>
          <w:sz w:val="24"/>
          <w:szCs w:val="24"/>
          <w:lang w:val="en-GB" w:eastAsia="en-GB"/>
        </w:rPr>
        <w:t xml:space="preserve">0, i.e., the noise is generated by the excitatory cells). The output (or transformation function) </w:t>
      </w:r>
      <w:r w:rsidRPr="007C17A6">
        <w:rPr>
          <w:rFonts w:ascii="Times New Roman" w:hAnsi="Times New Roman" w:cs="Times New Roman"/>
          <w:i/>
          <w:noProof/>
          <w:sz w:val="24"/>
          <w:szCs w:val="24"/>
          <w:lang w:val="en-GB" w:eastAsia="en-GB"/>
        </w:rPr>
        <w:t>ϕ</w:t>
      </w:r>
      <w:r w:rsidRPr="007C17A6">
        <w:rPr>
          <w:rFonts w:ascii="Times New Roman" w:hAnsi="Times New Roman" w:cs="Times New Roman"/>
          <w:noProof/>
          <w:sz w:val="24"/>
          <w:szCs w:val="24"/>
          <w:lang w:val="en-GB" w:eastAsia="en-GB"/>
        </w:rPr>
        <w:t xml:space="preserve"> of an excitatory cell </w:t>
      </w:r>
      <w:r w:rsidRPr="007C17A6">
        <w:rPr>
          <w:rFonts w:ascii="Times New Roman" w:hAnsi="Times New Roman" w:cs="Times New Roman"/>
          <w:i/>
          <w:noProof/>
          <w:sz w:val="24"/>
          <w:szCs w:val="24"/>
          <w:lang w:val="en-GB" w:eastAsia="en-GB"/>
        </w:rPr>
        <w:t>e</w:t>
      </w:r>
      <w:r w:rsidRPr="007C17A6">
        <w:rPr>
          <w:rFonts w:ascii="Times New Roman" w:hAnsi="Times New Roman" w:cs="Times New Roman"/>
          <w:noProof/>
          <w:sz w:val="24"/>
          <w:szCs w:val="24"/>
          <w:lang w:val="en-GB" w:eastAsia="en-GB"/>
        </w:rPr>
        <w:t xml:space="preserve"> is defined as follows:</w:t>
      </w:r>
      <w:r w:rsidRPr="007C17A6">
        <w:rPr>
          <w:rFonts w:ascii="Times New Roman" w:hAnsi="Times New Roman" w:cs="Times New Roman"/>
          <w:sz w:val="24"/>
          <w:szCs w:val="24"/>
          <w:lang w:val="en-GB" w:eastAsia="en-GB"/>
        </w:rPr>
        <w:t xml:space="preserve"> </w:t>
      </w:r>
    </w:p>
    <w:p w14:paraId="2FF69A00" w14:textId="77777777" w:rsidR="00B30D84" w:rsidRPr="007C17A6" w:rsidRDefault="00B30D84" w:rsidP="00E740D6">
      <w:pPr>
        <w:spacing w:before="120" w:after="120" w:line="240" w:lineRule="auto"/>
        <w:ind w:firstLine="288"/>
        <w:contextualSpacing/>
        <w:jc w:val="both"/>
        <w:rPr>
          <w:sz w:val="24"/>
          <w:szCs w:val="24"/>
          <w:lang w:val="en-GB" w:eastAsia="en-GB"/>
        </w:rPr>
      </w:pPr>
      <w:r w:rsidRPr="007C17A6">
        <w:rPr>
          <w:noProof/>
          <w:sz w:val="24"/>
          <w:szCs w:val="24"/>
        </w:rPr>
        <mc:AlternateContent>
          <mc:Choice Requires="wpg">
            <w:drawing>
              <wp:anchor distT="0" distB="23495" distL="114300" distR="114300" simplePos="0" relativeHeight="251660288" behindDoc="0" locked="0" layoutInCell="1" allowOverlap="1" wp14:anchorId="731F016D" wp14:editId="6084797B">
                <wp:simplePos x="0" y="0"/>
                <wp:positionH relativeFrom="column">
                  <wp:posOffset>1196664</wp:posOffset>
                </wp:positionH>
                <wp:positionV relativeFrom="paragraph">
                  <wp:posOffset>156278</wp:posOffset>
                </wp:positionV>
                <wp:extent cx="4177335" cy="547920"/>
                <wp:effectExtent l="0" t="0" r="0" b="24130"/>
                <wp:wrapNone/>
                <wp:docPr id="5" name="Group 202"/>
                <wp:cNvGraphicFramePr/>
                <a:graphic xmlns:a="http://schemas.openxmlformats.org/drawingml/2006/main">
                  <a:graphicData uri="http://schemas.microsoft.com/office/word/2010/wordprocessingGroup">
                    <wpg:wgp>
                      <wpg:cNvGrpSpPr/>
                      <wpg:grpSpPr>
                        <a:xfrm>
                          <a:off x="0" y="0"/>
                          <a:ext cx="4177335" cy="547920"/>
                          <a:chOff x="-152400" y="0"/>
                          <a:chExt cx="4177335" cy="547920"/>
                        </a:xfrm>
                      </wpg:grpSpPr>
                      <wps:wsp>
                        <wps:cNvPr id="2" name="Left Brace 2"/>
                        <wps:cNvSpPr/>
                        <wps:spPr>
                          <a:xfrm>
                            <a:off x="589320" y="0"/>
                            <a:ext cx="87480" cy="547920"/>
                          </a:xfrm>
                          <a:prstGeom prst="leftBrace">
                            <a:avLst>
                              <a:gd name="adj1" fmla="val 69308"/>
                              <a:gd name="adj2" fmla="val 50000"/>
                            </a:avLst>
                          </a:pr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 name="Rectangle 4"/>
                        <wps:cNvSpPr/>
                        <wps:spPr>
                          <a:xfrm>
                            <a:off x="793800" y="357480"/>
                            <a:ext cx="1800720" cy="1904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CD8A468" w14:textId="77777777" w:rsidR="000A22B8" w:rsidRDefault="000A22B8" w:rsidP="00B30D84">
                              <w:pPr>
                                <w:spacing w:after="0"/>
                              </w:pPr>
                              <w:r>
                                <w:t xml:space="preserve">0    </w:t>
                              </w:r>
                              <w:r>
                                <w:rPr>
                                  <w:i/>
                                  <w:iCs/>
                                </w:rPr>
                                <w:t>otherwise</w:t>
                              </w:r>
                              <w:r>
                                <w:t xml:space="preserve"> </w:t>
                              </w:r>
                            </w:p>
                          </w:txbxContent>
                        </wps:txbx>
                        <wps:bodyPr lIns="0" tIns="0" rIns="0" bIns="0">
                          <a:noAutofit/>
                        </wps:bodyPr>
                      </wps:wsp>
                      <wps:wsp>
                        <wps:cNvPr id="6" name="Rectangle 6"/>
                        <wps:cNvSpPr/>
                        <wps:spPr>
                          <a:xfrm>
                            <a:off x="793800" y="35640"/>
                            <a:ext cx="2407320" cy="2368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E281BAD" w14:textId="77777777" w:rsidR="000A22B8" w:rsidRPr="002B05E6" w:rsidRDefault="000A22B8" w:rsidP="00B30D84">
                              <w:pPr>
                                <w:spacing w:after="0" w:line="240" w:lineRule="auto"/>
                                <w:rPr>
                                  <w:lang w:val="de-DE"/>
                                </w:rPr>
                              </w:pPr>
                              <w:r w:rsidRPr="002B05E6">
                                <w:rPr>
                                  <w:lang w:val="de-DE"/>
                                </w:rPr>
                                <w:t xml:space="preserve">1      </w:t>
                              </w:r>
                              <w:proofErr w:type="spellStart"/>
                              <w:r w:rsidRPr="002B05E6">
                                <w:rPr>
                                  <w:i/>
                                  <w:iCs/>
                                  <w:lang w:val="de-DE"/>
                                </w:rPr>
                                <w:t>if</w:t>
                              </w:r>
                              <w:proofErr w:type="spellEnd"/>
                              <w:r w:rsidRPr="002B05E6">
                                <w:rPr>
                                  <w:lang w:val="de-DE"/>
                                </w:rPr>
                                <w:t xml:space="preserve">   (</w:t>
                              </w:r>
                              <w:r w:rsidRPr="002B05E6">
                                <w:rPr>
                                  <w:i/>
                                  <w:iCs/>
                                  <w:lang w:val="de-DE"/>
                                </w:rPr>
                                <w:t>V</w:t>
                              </w:r>
                              <w:r w:rsidRPr="002B05E6">
                                <w:rPr>
                                  <w:lang w:val="de-DE"/>
                                </w:rPr>
                                <w:t>(</w:t>
                              </w:r>
                              <w:proofErr w:type="spellStart"/>
                              <w:r w:rsidRPr="002B05E6">
                                <w:rPr>
                                  <w:i/>
                                  <w:iCs/>
                                  <w:lang w:val="de-DE"/>
                                </w:rPr>
                                <w:t>e,t</w:t>
                              </w:r>
                              <w:proofErr w:type="spellEnd"/>
                              <w:r w:rsidRPr="002B05E6">
                                <w:rPr>
                                  <w:lang w:val="de-DE"/>
                                </w:rPr>
                                <w:t xml:space="preserve">) ˗ </w:t>
                              </w:r>
                              <w:r>
                                <w:rPr>
                                  <w:i/>
                                  <w:iCs/>
                                </w:rPr>
                                <w:t>α</w:t>
                              </w:r>
                              <w:r>
                                <w:rPr>
                                  <w:rFonts w:ascii="Symbol" w:eastAsia="Symbol" w:hAnsi="Symbol" w:cs="Symbol"/>
                                  <w:i/>
                                  <w:sz w:val="24"/>
                                  <w:szCs w:val="24"/>
                                  <w:lang w:val="en-GB" w:eastAsia="en-GB"/>
                                </w:rPr>
                                <w:t></w:t>
                              </w:r>
                              <w:r w:rsidRPr="002B05E6">
                                <w:rPr>
                                  <w:i/>
                                  <w:iCs/>
                                  <w:sz w:val="12"/>
                                  <w:szCs w:val="12"/>
                                  <w:lang w:val="de-DE"/>
                                </w:rPr>
                                <w:t xml:space="preserve"> </w:t>
                              </w:r>
                              <w:r w:rsidRPr="002B05E6">
                                <w:rPr>
                                  <w:lang w:val="de-DE"/>
                                </w:rPr>
                                <w:t>(</w:t>
                              </w:r>
                              <w:r w:rsidRPr="002B05E6">
                                <w:rPr>
                                  <w:i/>
                                  <w:iCs/>
                                  <w:lang w:val="de-DE"/>
                                </w:rPr>
                                <w:t>e, t</w:t>
                              </w:r>
                              <w:r w:rsidRPr="002B05E6">
                                <w:rPr>
                                  <w:lang w:val="de-DE"/>
                                </w:rPr>
                                <w:t xml:space="preserve">)) &gt;  </w:t>
                              </w:r>
                              <w:proofErr w:type="spellStart"/>
                              <w:r w:rsidRPr="002B05E6">
                                <w:rPr>
                                  <w:i/>
                                  <w:iCs/>
                                  <w:lang w:val="de-DE"/>
                                </w:rPr>
                                <w:t>thresh</w:t>
                              </w:r>
                              <w:proofErr w:type="spellEnd"/>
                            </w:p>
                          </w:txbxContent>
                        </wps:txbx>
                        <wps:bodyPr lIns="0" tIns="0" rIns="0" bIns="0">
                          <a:noAutofit/>
                        </wps:bodyPr>
                      </wps:wsp>
                      <wps:wsp>
                        <wps:cNvPr id="7" name="Rectangle 7"/>
                        <wps:cNvSpPr/>
                        <wps:spPr>
                          <a:xfrm>
                            <a:off x="3593295" y="161683"/>
                            <a:ext cx="431640" cy="1911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3BA72ED" w14:textId="77777777" w:rsidR="000A22B8" w:rsidRDefault="000A22B8" w:rsidP="00B30D84">
                              <w:pPr>
                                <w:spacing w:after="0" w:line="240" w:lineRule="auto"/>
                              </w:pPr>
                              <w:r>
                                <w:rPr>
                                  <w:rFonts w:ascii="Helvetica" w:hAnsi="Helvetica"/>
                                </w:rPr>
                                <w:t>(B2)</w:t>
                              </w:r>
                            </w:p>
                          </w:txbxContent>
                        </wps:txbx>
                        <wps:bodyPr lIns="0" tIns="0" rIns="0" bIns="0">
                          <a:noAutofit/>
                        </wps:bodyPr>
                      </wps:wsp>
                      <wps:wsp>
                        <wps:cNvPr id="8" name="Rectangle 8"/>
                        <wps:cNvSpPr/>
                        <wps:spPr>
                          <a:xfrm>
                            <a:off x="-152400" y="190776"/>
                            <a:ext cx="679402" cy="195551"/>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2D78E9E" w14:textId="77777777" w:rsidR="000A22B8" w:rsidRDefault="000A22B8" w:rsidP="00B30D84">
                              <w:pPr>
                                <w:spacing w:after="0"/>
                              </w:pPr>
                              <w:r w:rsidRPr="007877B0">
                                <w:rPr>
                                  <w:i/>
                                  <w:iCs/>
                                </w:rPr>
                                <w:t>ϕ</w:t>
                              </w:r>
                              <w:r>
                                <w:t>(</w:t>
                              </w:r>
                              <w:proofErr w:type="spellStart"/>
                              <w:r>
                                <w:rPr>
                                  <w:i/>
                                  <w:iCs/>
                                </w:rPr>
                                <w:t>e,t</w:t>
                              </w:r>
                              <w:proofErr w:type="spellEnd"/>
                              <w:r>
                                <w:t>) =</w:t>
                              </w:r>
                            </w:p>
                          </w:txbxContent>
                        </wps:txbx>
                        <wps:bodyPr lIns="17640" tIns="0" rIns="17640" bIns="0">
                          <a:noAutofit/>
                        </wps:bodyPr>
                      </wps:wsp>
                    </wpg:wgp>
                  </a:graphicData>
                </a:graphic>
                <wp14:sizeRelH relativeFrom="margin">
                  <wp14:pctWidth>0</wp14:pctWidth>
                </wp14:sizeRelH>
              </wp:anchor>
            </w:drawing>
          </mc:Choice>
          <mc:Fallback>
            <w:pict>
              <v:group w14:anchorId="731F016D" id="Group 202" o:spid="_x0000_s1027" style="position:absolute;left:0;text-align:left;margin-left:94.25pt;margin-top:12.3pt;width:328.9pt;height:43.15pt;z-index:251660288;mso-wrap-distance-bottom:1.85pt;mso-width-relative:margin" coordorigin="-1524" coordsize="41773,5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LrQhgMAAIcQAAAOAAAAZHJzL2Uyb0RvYy54bWzsmN1O2zAUx+8n7R2s3EOS5qutKGgbA02a&#13;&#10;NgTbA7iJk2Zy7Mg2tLz9jk+cpAX2USaB0OhFcGL7+Pjvn4+POTrZNJzcMKVrKRZeeBh4hIlcFrWo&#13;&#10;Ft73b2cHU49oQ0VBuRRs4d0y7Z0cv31ztG7nbCJXkhdMETAi9HzdLryVMe3c93W+Yg3Vh7JlAipL&#13;&#10;qRpq4FVVfqHoGqw33J8EQeqvpSpaJXOmNXw97Sq9Y7Rfliw3X8tSM0P4wgPfDD4VPpf26R8f0Xml&#13;&#10;aLuqc+cGfYQXDa0FDDqYOqWGkmtV3zPV1LmSWpbmMJeNL8uyzhnOAWYTBndmc67kdYtzqebrqh1k&#13;&#10;Amnv6PRos/mXmwtF6mLhJR4RtIElwlHJJJhYcdZtNYc256q9ai+U+1B1b3a+m1I19i/MhGxQ1ttB&#13;&#10;VrYxJIePcZhlUQT2c6hL4mw2cbrnK1gc2+0gTCZxAOszds5XH3/f3e8H962Pg0vrFkDSo1b637S6&#13;&#10;WtGW4RJoq4PTatJr9ZmVhrxXNGfEyYXNBq30XINsDwiVTGcRyLA14V6taRZPoWJXq2GydN4qbc6Z&#13;&#10;bIgtLDwOHqADiB+9+awNcli41aTFj9AjZcMB6xvKSTqLgqnDfqsNzGhskwTws21gWGcRSv3A1ryQ&#13;&#10;ZzXnuHm4IOuFN4vSAD3QkteFrbTNtKqWH7giMDBQgT9ndqcZYC6KbjguYFS7hp1uWDK3nFlrXFyy&#13;&#10;ElhFztB87ux3Gxq2BQjXb2vwGDvYhiX4s2df18X2ZhhH9uw/dMLxpTBD/6YWUqEMW7OzxaUsbnGP&#13;&#10;oQAAsd1+T0Bz3NN8CeGSioozElv/7ODA/J9hzmbR1O3eKEF8kYye6BAqMwu7ZTqcBXHcw9VHjx4t&#13;&#10;x7QCP0acOzD6Jrjuv2TsDH8PMWbB2uIW6fh/UTOb5QajftgvdAcf4Z8ERExYK9MXVF9YukKn47tr&#13;&#10;I8va2MUZ2XUvT4dueh/dtJ/R/uimHZiw493RA4dShmHakjuJ0ilE5g7HV3Lt4fAMQXIgdzhvXya5&#13;&#10;2X1ys73IjRLIIGaQVdmgmobpNLLdR3bjKLQ8u6AbhnA+v6JrQ1unwnOiiys1Rs2XFnThStfdFMZ8&#13;&#10;ATPKv84XttN9yAeyDGP2iG6azWK4fjh0kyTBUwrizWvUfe6oOySGO1E3zDDU3MkZ3Nc98wa8zsFt&#13;&#10;F3KJnev09jvmGeP/D45/AgAA//8DAFBLAwQUAAYACAAAACEAVd+rnOMAAAAPAQAADwAAAGRycy9k&#13;&#10;b3ducmV2LnhtbExPTWuDQBC9F/oflin01qzmQ4xxDSH9OIVAk0LJbaITlbi74m7U/PtOT+1l4PE+&#13;&#10;5r10PepG9NS52hoF4SQAQSa3RW1KBV/H95cYhPNoCmysIQV3crDOHh9STAo7mE/qD74UHGJcggoq&#13;&#10;79tESpdXpNFNbEuGuYvtNHqGXSmLDgcO142cBkEkNdaGP1TY0rai/Hq4aQUfAw6bWfjW766X7f10&#13;&#10;XOy/dyEp9fw0vq74bFYgPI3+zwG/G7g/ZFzsbG+mcKJhHMcLliqYziMQLIjn0QzEmZkwWILMUvl/&#13;&#10;R/YDAAD//wMAUEsBAi0AFAAGAAgAAAAhALaDOJL+AAAA4QEAABMAAAAAAAAAAAAAAAAAAAAAAFtD&#13;&#10;b250ZW50X1R5cGVzXS54bWxQSwECLQAUAAYACAAAACEAOP0h/9YAAACUAQAACwAAAAAAAAAAAAAA&#13;&#10;AAAvAQAAX3JlbHMvLnJlbHNQSwECLQAUAAYACAAAACEANLy60IYDAACHEAAADgAAAAAAAAAAAAAA&#13;&#10;AAAuAgAAZHJzL2Uyb0RvYy54bWxQSwECLQAUAAYACAAAACEAVd+rnOMAAAAPAQAADwAAAAAAAAAA&#13;&#10;AAAAAADgBQAAZHJzL2Rvd25yZXYueG1sUEsFBgAAAAAEAAQA8wAAAPAGAAAAAA==&#13;&#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8" type="#_x0000_t87" style="position:absolute;left:5893;width:875;height:5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SofxgAAAN8AAAAPAAAAZHJzL2Rvd25yZXYueG1sRI/disIw&#13;&#10;FITvhX2HcBa809QfZKlG0V0Eb7TW9QEOzbEtNifdJmvr2xtB8GZgGOYbZrHqTCVu1LjSsoLRMAJB&#13;&#10;nFldcq7g/LsdfIFwHlljZZkU3MnBavnRW2Csbcsp3U4+FwHCLkYFhfd1LKXLCjLohrYmDtnFNgZ9&#13;&#10;sE0udYNtgJtKjqNoJg2WHBYKrOm7oOx6+jcK/GV01jO92x+TJJ/+TQ5p0m42SvU/u595kPUchKfO&#13;&#10;vxsvxE4rGMPzT/gCcvkAAAD//wMAUEsBAi0AFAAGAAgAAAAhANvh9svuAAAAhQEAABMAAAAAAAAA&#13;&#10;AAAAAAAAAAAAAFtDb250ZW50X1R5cGVzXS54bWxQSwECLQAUAAYACAAAACEAWvQsW78AAAAVAQAA&#13;&#10;CwAAAAAAAAAAAAAAAAAfAQAAX3JlbHMvLnJlbHNQSwECLQAUAAYACAAAACEAFHEqH8YAAADfAAAA&#13;&#10;DwAAAAAAAAAAAAAAAAAHAgAAZHJzL2Rvd25yZXYueG1sUEsFBgAAAAADAAMAtwAAAPoCAAAAAA==&#13;&#10;" adj="2390" strokeweight=".26mm"/>
                <v:rect id="Rectangle 4" o:spid="_x0000_s1029" style="position:absolute;left:7938;top:3574;width:18007;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19RxAAAAN8AAAAPAAAAZHJzL2Rvd25yZXYueG1sRI9BawIx&#13;&#10;FITvBf9DeIK3mlVKKatRRC167bbF62Pz3KwmL8smavTXN4VCLwPDMN8w82VyVlypD61nBZNxAYK4&#13;&#10;9rrlRsHX5/vzG4gQkTVaz6TgTgGWi8HTHEvtb/xB1yo2IkM4lKjAxNiVUobakMMw9h1xzo6+dxiz&#13;&#10;7Rupe7xluLNyWhSv0mHLecFgR2tD9bm6OAW7yWbbneSjwp2NdPk2qbaHpNRomDazLKsZiEgp/jf+&#13;&#10;EHut4AV+/+QvIBc/AAAA//8DAFBLAQItABQABgAIAAAAIQDb4fbL7gAAAIUBAAATAAAAAAAAAAAA&#13;&#10;AAAAAAAAAABbQ29udGVudF9UeXBlc10ueG1sUEsBAi0AFAAGAAgAAAAhAFr0LFu/AAAAFQEAAAsA&#13;&#10;AAAAAAAAAAAAAAAAHwEAAF9yZWxzLy5yZWxzUEsBAi0AFAAGAAgAAAAhAHWHX1HEAAAA3wAAAA8A&#13;&#10;AAAAAAAAAAAAAAAABwIAAGRycy9kb3ducmV2LnhtbFBLBQYAAAAAAwADALcAAAD4AgAAAAA=&#13;&#10;" stroked="f">
                  <v:textbox inset="0,0,0,0">
                    <w:txbxContent>
                      <w:p w14:paraId="7CD8A468" w14:textId="77777777" w:rsidR="000A22B8" w:rsidRDefault="000A22B8" w:rsidP="00B30D84">
                        <w:pPr>
                          <w:spacing w:after="0"/>
                        </w:pPr>
                        <w:r>
                          <w:t xml:space="preserve">0    </w:t>
                        </w:r>
                        <w:r>
                          <w:rPr>
                            <w:i/>
                            <w:iCs/>
                          </w:rPr>
                          <w:t>otherwise</w:t>
                        </w:r>
                        <w:r>
                          <w:t xml:space="preserve"> </w:t>
                        </w:r>
                      </w:p>
                    </w:txbxContent>
                  </v:textbox>
                </v:rect>
                <v:rect id="Rectangle 6" o:spid="_x0000_s1030" style="position:absolute;left:7938;top:356;width:24073;height:23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WS9xAAAAN8AAAAPAAAAZHJzL2Rvd25yZXYueG1sRI9PawIx&#13;&#10;FMTvBb9DeIK3mtWDlNUo4h/02m1Lr4/Nc7OavCybqNFP3xQKvQwMw/yGWaySs+JGfWg9K5iMCxDE&#13;&#10;tdctNwo+P/avbyBCRNZoPZOCBwVYLQcvCyy1v/M73arYiAzhUKICE2NXShlqQw7D2HfEOTv53mHM&#13;&#10;tm+k7vGe4c7KaVHMpMOW84LBjjaG6kt1dQoOk+2uO8tnhQcb6fplUm2/k1KjYdrOs6znICKl+N/4&#13;&#10;Qxy1ghn8/slfQC5/AAAA//8DAFBLAQItABQABgAIAAAAIQDb4fbL7gAAAIUBAAATAAAAAAAAAAAA&#13;&#10;AAAAAAAAAABbQ29udGVudF9UeXBlc10ueG1sUEsBAi0AFAAGAAgAAAAhAFr0LFu/AAAAFQEAAAsA&#13;&#10;AAAAAAAAAAAAAAAAHwEAAF9yZWxzLy5yZWxzUEsBAi0AFAAGAAgAAAAhAOoZZL3EAAAA3wAAAA8A&#13;&#10;AAAAAAAAAAAAAAAABwIAAGRycy9kb3ducmV2LnhtbFBLBQYAAAAAAwADALcAAAD4AgAAAAA=&#13;&#10;" stroked="f">
                  <v:textbox inset="0,0,0,0">
                    <w:txbxContent>
                      <w:p w14:paraId="1E281BAD" w14:textId="77777777" w:rsidR="000A22B8" w:rsidRPr="002B05E6" w:rsidRDefault="000A22B8" w:rsidP="00B30D84">
                        <w:pPr>
                          <w:spacing w:after="0" w:line="240" w:lineRule="auto"/>
                          <w:rPr>
                            <w:lang w:val="de-DE"/>
                          </w:rPr>
                        </w:pPr>
                        <w:r w:rsidRPr="002B05E6">
                          <w:rPr>
                            <w:lang w:val="de-DE"/>
                          </w:rPr>
                          <w:t xml:space="preserve">1      </w:t>
                        </w:r>
                        <w:proofErr w:type="spellStart"/>
                        <w:r w:rsidRPr="002B05E6">
                          <w:rPr>
                            <w:i/>
                            <w:iCs/>
                            <w:lang w:val="de-DE"/>
                          </w:rPr>
                          <w:t>if</w:t>
                        </w:r>
                        <w:proofErr w:type="spellEnd"/>
                        <w:r w:rsidRPr="002B05E6">
                          <w:rPr>
                            <w:lang w:val="de-DE"/>
                          </w:rPr>
                          <w:t xml:space="preserve">   (</w:t>
                        </w:r>
                        <w:r w:rsidRPr="002B05E6">
                          <w:rPr>
                            <w:i/>
                            <w:iCs/>
                            <w:lang w:val="de-DE"/>
                          </w:rPr>
                          <w:t>V</w:t>
                        </w:r>
                        <w:r w:rsidRPr="002B05E6">
                          <w:rPr>
                            <w:lang w:val="de-DE"/>
                          </w:rPr>
                          <w:t>(</w:t>
                        </w:r>
                        <w:proofErr w:type="spellStart"/>
                        <w:r w:rsidRPr="002B05E6">
                          <w:rPr>
                            <w:i/>
                            <w:iCs/>
                            <w:lang w:val="de-DE"/>
                          </w:rPr>
                          <w:t>e,t</w:t>
                        </w:r>
                        <w:proofErr w:type="spellEnd"/>
                        <w:r w:rsidRPr="002B05E6">
                          <w:rPr>
                            <w:lang w:val="de-DE"/>
                          </w:rPr>
                          <w:t xml:space="preserve">) ˗ </w:t>
                        </w:r>
                        <w:r>
                          <w:rPr>
                            <w:i/>
                            <w:iCs/>
                          </w:rPr>
                          <w:t>α</w:t>
                        </w:r>
                        <w:r>
                          <w:rPr>
                            <w:rFonts w:ascii="Symbol" w:eastAsia="Symbol" w:hAnsi="Symbol" w:cs="Symbol"/>
                            <w:i/>
                            <w:sz w:val="24"/>
                            <w:szCs w:val="24"/>
                            <w:lang w:val="en-GB" w:eastAsia="en-GB"/>
                          </w:rPr>
                          <w:t></w:t>
                        </w:r>
                        <w:r w:rsidRPr="002B05E6">
                          <w:rPr>
                            <w:i/>
                            <w:iCs/>
                            <w:sz w:val="12"/>
                            <w:szCs w:val="12"/>
                            <w:lang w:val="de-DE"/>
                          </w:rPr>
                          <w:t xml:space="preserve"> </w:t>
                        </w:r>
                        <w:r w:rsidRPr="002B05E6">
                          <w:rPr>
                            <w:lang w:val="de-DE"/>
                          </w:rPr>
                          <w:t>(</w:t>
                        </w:r>
                        <w:r w:rsidRPr="002B05E6">
                          <w:rPr>
                            <w:i/>
                            <w:iCs/>
                            <w:lang w:val="de-DE"/>
                          </w:rPr>
                          <w:t>e, t</w:t>
                        </w:r>
                        <w:r w:rsidRPr="002B05E6">
                          <w:rPr>
                            <w:lang w:val="de-DE"/>
                          </w:rPr>
                          <w:t xml:space="preserve">)) &gt;  </w:t>
                        </w:r>
                        <w:proofErr w:type="spellStart"/>
                        <w:r w:rsidRPr="002B05E6">
                          <w:rPr>
                            <w:i/>
                            <w:iCs/>
                            <w:lang w:val="de-DE"/>
                          </w:rPr>
                          <w:t>thresh</w:t>
                        </w:r>
                        <w:proofErr w:type="spellEnd"/>
                      </w:p>
                    </w:txbxContent>
                  </v:textbox>
                </v:rect>
                <v:rect id="Rectangle 7" o:spid="_x0000_s1031" style="position:absolute;left:35932;top:1616;width:4317;height:1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cEmxAAAAN8AAAAPAAAAZHJzL2Rvd25yZXYueG1sRI9BawIx&#13;&#10;FITvBf9DeIK3mtVDW1ajiFr02m2L18fmuVlNXpZN1OivbwqFXgaGYb5h5svkrLhSH1rPCibjAgRx&#13;&#10;7XXLjYKvz/fnNxAhImu0nknBnQIsF4OnOZba3/iDrlVsRIZwKFGBibErpQy1IYdh7DvinB197zBm&#13;&#10;2zdS93jLcGfltChepMOW84LBjtaG6nN1cQp2k822O8lHhTsb6fJtUm0PSanRMG1mWVYzEJFS/G/8&#13;&#10;IfZawSv8/slfQC5+AAAA//8DAFBLAQItABQABgAIAAAAIQDb4fbL7gAAAIUBAAATAAAAAAAAAAAA&#13;&#10;AAAAAAAAAABbQ29udGVudF9UeXBlc10ueG1sUEsBAi0AFAAGAAgAAAAhAFr0LFu/AAAAFQEAAAsA&#13;&#10;AAAAAAAAAAAAAAAAHwEAAF9yZWxzLy5yZWxzUEsBAi0AFAAGAAgAAAAhAIVVwSbEAAAA3wAAAA8A&#13;&#10;AAAAAAAAAAAAAAAABwIAAGRycy9kb3ducmV2LnhtbFBLBQYAAAAAAwADALcAAAD4AgAAAAA=&#13;&#10;" stroked="f">
                  <v:textbox inset="0,0,0,0">
                    <w:txbxContent>
                      <w:p w14:paraId="03BA72ED" w14:textId="77777777" w:rsidR="000A22B8" w:rsidRDefault="000A22B8" w:rsidP="00B30D84">
                        <w:pPr>
                          <w:spacing w:after="0" w:line="240" w:lineRule="auto"/>
                        </w:pPr>
                        <w:r>
                          <w:rPr>
                            <w:rFonts w:ascii="Helvetica" w:hAnsi="Helvetica"/>
                          </w:rPr>
                          <w:t>(B2)</w:t>
                        </w:r>
                      </w:p>
                    </w:txbxContent>
                  </v:textbox>
                </v:rect>
                <v:rect id="Rectangle 8" o:spid="_x0000_s1032" style="position:absolute;left:-1524;top:1907;width:6794;height:1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3tRyAAAAN8AAAAPAAAAZHJzL2Rvd25yZXYueG1sRI/BasJA&#13;&#10;EIbvBd9hGaG3urFF0egq0tIivRSjgt6G7JhEs7Mhu43p23cOhV4Gfob/m/mW697VqqM2VJ4NjEcJ&#13;&#10;KOLc24oLA4f9+9MMVIjIFmvPZOCHAqxXg4clptbfeUddFgslEA4pGihjbFKtQ16SwzDyDbHsLr51&#13;&#10;GCW2hbYt3gXuav2cJFPtsGK5UGJDryXlt+zbGTiepvOXpj53h9OF9+7z+vFVTJwxj8P+bSFjswAV&#13;&#10;qY//jT/E1hqQh8VHXECvfgEAAP//AwBQSwECLQAUAAYACAAAACEA2+H2y+4AAACFAQAAEwAAAAAA&#13;&#10;AAAAAAAAAAAAAAAAW0NvbnRlbnRfVHlwZXNdLnhtbFBLAQItABQABgAIAAAAIQBa9CxbvwAAABUB&#13;&#10;AAALAAAAAAAAAAAAAAAAAB8BAABfcmVscy8ucmVsc1BLAQItABQABgAIAAAAIQBCe3tRyAAAAN8A&#13;&#10;AAAPAAAAAAAAAAAAAAAAAAcCAABkcnMvZG93bnJldi54bWxQSwUGAAAAAAMAAwC3AAAA/AIAAAAA&#13;&#10;" stroked="f">
                  <v:textbox inset=".49mm,0,.49mm,0">
                    <w:txbxContent>
                      <w:p w14:paraId="22D78E9E" w14:textId="77777777" w:rsidR="000A22B8" w:rsidRDefault="000A22B8" w:rsidP="00B30D84">
                        <w:pPr>
                          <w:spacing w:after="0"/>
                        </w:pPr>
                        <w:r w:rsidRPr="007877B0">
                          <w:rPr>
                            <w:i/>
                            <w:iCs/>
                          </w:rPr>
                          <w:t>ϕ</w:t>
                        </w:r>
                        <w:r>
                          <w:t>(</w:t>
                        </w:r>
                        <w:proofErr w:type="spellStart"/>
                        <w:r>
                          <w:rPr>
                            <w:i/>
                            <w:iCs/>
                          </w:rPr>
                          <w:t>e,t</w:t>
                        </w:r>
                        <w:proofErr w:type="spellEnd"/>
                        <w:r>
                          <w:t>) =</w:t>
                        </w:r>
                      </w:p>
                    </w:txbxContent>
                  </v:textbox>
                </v:rect>
              </v:group>
            </w:pict>
          </mc:Fallback>
        </mc:AlternateContent>
      </w:r>
    </w:p>
    <w:p w14:paraId="227EB9EF" w14:textId="77777777" w:rsidR="00B30D84" w:rsidRPr="007C17A6" w:rsidRDefault="00B30D84" w:rsidP="00E740D6">
      <w:pPr>
        <w:widowControl w:val="0"/>
        <w:spacing w:before="120" w:after="120" w:line="240" w:lineRule="auto"/>
        <w:contextualSpacing/>
        <w:jc w:val="both"/>
        <w:rPr>
          <w:sz w:val="24"/>
          <w:szCs w:val="24"/>
          <w:lang w:val="en-GB" w:eastAsia="en-GB"/>
        </w:rPr>
      </w:pPr>
    </w:p>
    <w:p w14:paraId="1B6995C6" w14:textId="77777777" w:rsidR="00D905DF" w:rsidRPr="007C17A6" w:rsidRDefault="00D905DF" w:rsidP="0077421C">
      <w:pPr>
        <w:spacing w:before="120" w:after="120" w:line="240" w:lineRule="auto"/>
        <w:contextualSpacing/>
        <w:jc w:val="both"/>
        <w:rPr>
          <w:rFonts w:ascii="Times New Roman" w:hAnsi="Times New Roman" w:cs="Times New Roman"/>
          <w:noProof/>
          <w:sz w:val="24"/>
          <w:szCs w:val="24"/>
          <w:lang w:val="en-GB" w:eastAsia="en-GB"/>
        </w:rPr>
      </w:pPr>
    </w:p>
    <w:p w14:paraId="285F1E0A" w14:textId="77777777" w:rsidR="00D905DF" w:rsidRPr="007C17A6" w:rsidRDefault="00D905DF" w:rsidP="0077421C">
      <w:pPr>
        <w:spacing w:before="120" w:after="120" w:line="240" w:lineRule="auto"/>
        <w:contextualSpacing/>
        <w:jc w:val="both"/>
        <w:rPr>
          <w:rFonts w:ascii="Times New Roman" w:hAnsi="Times New Roman" w:cs="Times New Roman"/>
          <w:sz w:val="24"/>
          <w:szCs w:val="24"/>
          <w:lang w:val="en-GB" w:eastAsia="en-GB"/>
        </w:rPr>
      </w:pPr>
    </w:p>
    <w:p w14:paraId="767AFA64" w14:textId="77777777" w:rsidR="00D905DF" w:rsidRPr="007C17A6" w:rsidRDefault="00D905DF" w:rsidP="0077421C">
      <w:pPr>
        <w:spacing w:before="120" w:after="120" w:line="240" w:lineRule="auto"/>
        <w:contextualSpacing/>
        <w:jc w:val="both"/>
        <w:rPr>
          <w:rFonts w:ascii="Times New Roman" w:hAnsi="Times New Roman" w:cs="Times New Roman"/>
          <w:sz w:val="24"/>
          <w:szCs w:val="24"/>
          <w:lang w:val="en-GB" w:eastAsia="en-GB"/>
        </w:rPr>
      </w:pPr>
    </w:p>
    <w:p w14:paraId="72AFC7AF" w14:textId="77777777" w:rsidR="00B30D84" w:rsidRPr="007C17A6" w:rsidRDefault="00B30D84" w:rsidP="0077421C">
      <w:pPr>
        <w:spacing w:before="120" w:after="120" w:line="240" w:lineRule="auto"/>
        <w:contextualSpacing/>
        <w:jc w:val="both"/>
        <w:rPr>
          <w:rFonts w:ascii="Times New Roman" w:hAnsi="Times New Roman" w:cs="Times New Roman"/>
          <w:noProof/>
          <w:sz w:val="24"/>
          <w:szCs w:val="24"/>
          <w:lang w:val="en-GB" w:eastAsia="en-GB"/>
        </w:rPr>
      </w:pPr>
      <w:r w:rsidRPr="007C17A6">
        <w:rPr>
          <w:rFonts w:ascii="Times New Roman" w:hAnsi="Times New Roman" w:cs="Times New Roman"/>
          <w:sz w:val="24"/>
          <w:szCs w:val="24"/>
          <w:lang w:val="en-GB" w:eastAsia="en-GB"/>
        </w:rPr>
        <w:t xml:space="preserve">Thus, an excitatory cell </w:t>
      </w:r>
      <w:r w:rsidRPr="007C17A6">
        <w:rPr>
          <w:rFonts w:ascii="Times New Roman" w:hAnsi="Times New Roman" w:cs="Times New Roman"/>
          <w:i/>
          <w:sz w:val="24"/>
          <w:szCs w:val="24"/>
          <w:lang w:val="en-GB" w:eastAsia="en-GB"/>
        </w:rPr>
        <w:t>e</w:t>
      </w:r>
      <w:r w:rsidRPr="007C17A6">
        <w:rPr>
          <w:rFonts w:ascii="Times New Roman" w:hAnsi="Times New Roman" w:cs="Times New Roman"/>
          <w:sz w:val="24"/>
          <w:szCs w:val="24"/>
          <w:lang w:val="en-GB" w:eastAsia="en-GB"/>
        </w:rPr>
        <w:t xml:space="preserve"> spikes (=1) whenever its membrane potential </w:t>
      </w:r>
      <w:r w:rsidRPr="007C17A6">
        <w:rPr>
          <w:rFonts w:ascii="Times New Roman" w:hAnsi="Times New Roman" w:cs="Times New Roman"/>
          <w:i/>
          <w:sz w:val="24"/>
          <w:szCs w:val="24"/>
          <w:lang w:val="en-GB" w:eastAsia="en-GB"/>
        </w:rPr>
        <w:t>V</w:t>
      </w:r>
      <w:r w:rsidRPr="007C17A6">
        <w:rPr>
          <w:rFonts w:ascii="Times New Roman" w:hAnsi="Times New Roman" w:cs="Times New Roman"/>
          <w:sz w:val="24"/>
          <w:szCs w:val="24"/>
          <w:lang w:val="en-GB" w:eastAsia="en-GB"/>
        </w:rPr>
        <w:t>(</w:t>
      </w:r>
      <w:proofErr w:type="spellStart"/>
      <w:r w:rsidRPr="007C17A6">
        <w:rPr>
          <w:rFonts w:ascii="Times New Roman" w:hAnsi="Times New Roman" w:cs="Times New Roman"/>
          <w:i/>
          <w:sz w:val="24"/>
          <w:szCs w:val="24"/>
          <w:lang w:val="en-GB" w:eastAsia="en-GB"/>
        </w:rPr>
        <w:t>e,t</w:t>
      </w:r>
      <w:proofErr w:type="spellEnd"/>
      <w:r w:rsidRPr="007C17A6">
        <w:rPr>
          <w:rFonts w:ascii="Times New Roman" w:hAnsi="Times New Roman" w:cs="Times New Roman"/>
          <w:sz w:val="24"/>
          <w:szCs w:val="24"/>
          <w:lang w:val="en-GB" w:eastAsia="en-GB"/>
        </w:rPr>
        <w:t xml:space="preserve">) overcomes a fixed threshold </w:t>
      </w:r>
      <w:r w:rsidRPr="007C17A6">
        <w:rPr>
          <w:rFonts w:ascii="Times New Roman" w:hAnsi="Times New Roman" w:cs="Times New Roman"/>
          <w:i/>
          <w:sz w:val="24"/>
          <w:szCs w:val="24"/>
          <w:lang w:val="en-GB" w:eastAsia="en-GB"/>
        </w:rPr>
        <w:t>thresh</w:t>
      </w:r>
      <w:r w:rsidRPr="007C17A6">
        <w:rPr>
          <w:rFonts w:ascii="Times New Roman" w:hAnsi="Times New Roman" w:cs="Times New Roman"/>
          <w:sz w:val="24"/>
          <w:szCs w:val="24"/>
          <w:lang w:val="en-GB" w:eastAsia="en-GB"/>
        </w:rPr>
        <w:t xml:space="preserve"> by the quantity</w:t>
      </w:r>
      <w:r w:rsidRPr="007C17A6">
        <w:rPr>
          <w:sz w:val="24"/>
          <w:szCs w:val="24"/>
          <w:lang w:val="en-GB" w:eastAsia="en-GB"/>
        </w:rPr>
        <w:t xml:space="preserve"> </w:t>
      </w:r>
      <w:r w:rsidRPr="007C17A6">
        <w:rPr>
          <w:i/>
          <w:sz w:val="24"/>
          <w:szCs w:val="24"/>
          <w:lang w:val="en-GB" w:eastAsia="en-GB"/>
        </w:rPr>
        <w:t>α</w:t>
      </w:r>
      <w:r w:rsidRPr="007C17A6">
        <w:rPr>
          <w:rFonts w:ascii="Symbol" w:eastAsia="Symbol" w:hAnsi="Symbol" w:cs="Symbol"/>
          <w:i/>
          <w:sz w:val="24"/>
          <w:szCs w:val="24"/>
          <w:lang w:val="en-GB" w:eastAsia="en-GB"/>
        </w:rPr>
        <w:t></w:t>
      </w:r>
      <w:r w:rsidRPr="007C17A6">
        <w:rPr>
          <w:rFonts w:ascii="Times New Roman" w:hAnsi="Times New Roman" w:cs="Times New Roman"/>
          <w:sz w:val="24"/>
          <w:szCs w:val="24"/>
          <w:lang w:val="en-GB" w:eastAsia="en-GB"/>
        </w:rPr>
        <w:t>(</w:t>
      </w:r>
      <w:proofErr w:type="spellStart"/>
      <w:r w:rsidRPr="007C17A6">
        <w:rPr>
          <w:rFonts w:ascii="Times New Roman" w:hAnsi="Times New Roman" w:cs="Times New Roman"/>
          <w:i/>
          <w:sz w:val="24"/>
          <w:szCs w:val="24"/>
          <w:lang w:val="en-GB" w:eastAsia="en-GB"/>
        </w:rPr>
        <w:t>e,t</w:t>
      </w:r>
      <w:proofErr w:type="spellEnd"/>
      <w:r w:rsidRPr="007C17A6">
        <w:rPr>
          <w:rFonts w:ascii="Times New Roman" w:hAnsi="Times New Roman" w:cs="Times New Roman"/>
          <w:sz w:val="24"/>
          <w:szCs w:val="24"/>
          <w:lang w:val="en-GB" w:eastAsia="en-GB"/>
        </w:rPr>
        <w:t>)</w:t>
      </w:r>
      <w:r w:rsidRPr="007C17A6">
        <w:rPr>
          <w:sz w:val="24"/>
          <w:szCs w:val="24"/>
          <w:lang w:val="en-GB" w:eastAsia="en-GB"/>
        </w:rPr>
        <w:t xml:space="preserve"> (</w:t>
      </w:r>
      <w:r w:rsidRPr="007C17A6">
        <w:rPr>
          <w:rFonts w:ascii="Times New Roman" w:hAnsi="Times New Roman" w:cs="Times New Roman"/>
          <w:sz w:val="24"/>
          <w:szCs w:val="24"/>
          <w:lang w:val="en-GB" w:eastAsia="en-GB"/>
        </w:rPr>
        <w:t xml:space="preserve">where </w:t>
      </w:r>
      <w:r w:rsidRPr="007C17A6">
        <w:rPr>
          <w:rFonts w:ascii="Times New Roman" w:hAnsi="Times New Roman" w:cs="Times New Roman"/>
          <w:i/>
          <w:sz w:val="24"/>
          <w:szCs w:val="24"/>
          <w:lang w:val="en-GB" w:eastAsia="en-GB"/>
        </w:rPr>
        <w:t xml:space="preserve">α </w:t>
      </w:r>
      <w:r w:rsidRPr="007C17A6">
        <w:rPr>
          <w:rFonts w:ascii="Times New Roman" w:hAnsi="Times New Roman" w:cs="Times New Roman"/>
          <w:sz w:val="24"/>
          <w:szCs w:val="24"/>
          <w:lang w:val="en-GB" w:eastAsia="en-GB"/>
        </w:rPr>
        <w:t>is a constant and</w:t>
      </w:r>
      <w:r w:rsidRPr="007C17A6">
        <w:rPr>
          <w:i/>
          <w:sz w:val="24"/>
          <w:szCs w:val="24"/>
          <w:lang w:val="en-GB" w:eastAsia="en-GB"/>
        </w:rPr>
        <w:t xml:space="preserve"> </w:t>
      </w:r>
      <w:r w:rsidRPr="007C17A6">
        <w:rPr>
          <w:rFonts w:ascii="Symbol" w:eastAsia="Symbol" w:hAnsi="Symbol" w:cs="Symbol"/>
          <w:i/>
          <w:sz w:val="24"/>
          <w:szCs w:val="24"/>
          <w:lang w:val="en-GB" w:eastAsia="en-GB"/>
        </w:rPr>
        <w:t></w:t>
      </w:r>
      <w:r w:rsidRPr="007C17A6">
        <w:rPr>
          <w:sz w:val="24"/>
          <w:szCs w:val="24"/>
          <w:lang w:val="en-GB" w:eastAsia="en-GB"/>
        </w:rPr>
        <w:t xml:space="preserve"> </w:t>
      </w:r>
      <w:r w:rsidRPr="007C17A6">
        <w:rPr>
          <w:rFonts w:ascii="Times New Roman" w:hAnsi="Times New Roman" w:cs="Times New Roman"/>
          <w:sz w:val="24"/>
          <w:szCs w:val="24"/>
          <w:lang w:val="en-GB" w:eastAsia="en-GB"/>
        </w:rPr>
        <w:t xml:space="preserve">is defined below). Inhibitory cells are graded response neurons, for simplicity, as they intend to represent the average impact of a cluster of local interneurons; </w:t>
      </w:r>
      <w:r w:rsidRPr="007C17A6">
        <w:rPr>
          <w:rFonts w:ascii="Times New Roman" w:hAnsi="Times New Roman" w:cs="Times New Roman"/>
          <w:noProof/>
          <w:sz w:val="24"/>
          <w:szCs w:val="24"/>
          <w:lang w:val="en-GB" w:eastAsia="en-GB"/>
        </w:rPr>
        <w:t xml:space="preserve">the output </w:t>
      </w:r>
      <w:r w:rsidRPr="007C17A6">
        <w:rPr>
          <w:rFonts w:ascii="Times New Roman" w:hAnsi="Times New Roman" w:cs="Times New Roman"/>
          <w:i/>
          <w:noProof/>
          <w:sz w:val="24"/>
          <w:szCs w:val="24"/>
          <w:lang w:val="en-GB" w:eastAsia="en-GB"/>
        </w:rPr>
        <w:t>ϕ</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i,t</w:t>
      </w:r>
      <w:r w:rsidRPr="007C17A6">
        <w:rPr>
          <w:rFonts w:ascii="Times New Roman" w:hAnsi="Times New Roman" w:cs="Times New Roman"/>
          <w:noProof/>
          <w:sz w:val="24"/>
          <w:szCs w:val="24"/>
          <w:lang w:val="en-GB" w:eastAsia="en-GB"/>
        </w:rPr>
        <w:t xml:space="preserve">) of an inhibitory neuron </w:t>
      </w:r>
      <w:r w:rsidRPr="007C17A6">
        <w:rPr>
          <w:rFonts w:ascii="Times New Roman" w:hAnsi="Times New Roman" w:cs="Times New Roman"/>
          <w:i/>
          <w:noProof/>
          <w:sz w:val="24"/>
          <w:szCs w:val="24"/>
          <w:lang w:val="en-GB" w:eastAsia="en-GB"/>
        </w:rPr>
        <w:t>i</w:t>
      </w:r>
      <w:r w:rsidRPr="007C17A6">
        <w:rPr>
          <w:rFonts w:ascii="Times New Roman" w:hAnsi="Times New Roman" w:cs="Times New Roman"/>
          <w:noProof/>
          <w:sz w:val="24"/>
          <w:szCs w:val="24"/>
          <w:lang w:val="en-GB" w:eastAsia="en-GB"/>
        </w:rPr>
        <w:t xml:space="preserve"> is 0 if </w:t>
      </w:r>
      <w:r w:rsidRPr="007C17A6">
        <w:rPr>
          <w:rFonts w:ascii="Times New Roman" w:hAnsi="Times New Roman" w:cs="Times New Roman"/>
          <w:i/>
          <w:noProof/>
          <w:sz w:val="24"/>
          <w:szCs w:val="24"/>
          <w:lang w:val="en-GB" w:eastAsia="en-GB"/>
        </w:rPr>
        <w:t>V</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i,t</w:t>
      </w:r>
      <w:r w:rsidRPr="007C17A6">
        <w:rPr>
          <w:rFonts w:ascii="Times New Roman" w:hAnsi="Times New Roman" w:cs="Times New Roman"/>
          <w:noProof/>
          <w:sz w:val="24"/>
          <w:szCs w:val="24"/>
          <w:lang w:val="en-GB" w:eastAsia="en-GB"/>
        </w:rPr>
        <w:t xml:space="preserve">)&lt;0 and </w:t>
      </w:r>
      <w:r w:rsidRPr="007C17A6">
        <w:rPr>
          <w:rFonts w:ascii="Times New Roman" w:hAnsi="Times New Roman" w:cs="Times New Roman"/>
          <w:i/>
          <w:noProof/>
          <w:sz w:val="24"/>
          <w:szCs w:val="24"/>
          <w:lang w:val="en-GB" w:eastAsia="en-GB"/>
        </w:rPr>
        <w:t>V</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i,t</w:t>
      </w:r>
      <w:r w:rsidRPr="007C17A6">
        <w:rPr>
          <w:rFonts w:ascii="Times New Roman" w:hAnsi="Times New Roman" w:cs="Times New Roman"/>
          <w:noProof/>
          <w:sz w:val="24"/>
          <w:szCs w:val="24"/>
          <w:lang w:val="en-GB" w:eastAsia="en-GB"/>
        </w:rPr>
        <w:t xml:space="preserve">) otherwise. </w:t>
      </w:r>
    </w:p>
    <w:p w14:paraId="2FA2212E" w14:textId="77777777" w:rsidR="00E740D6" w:rsidRPr="007C17A6" w:rsidRDefault="00E740D6" w:rsidP="00E740D6">
      <w:pPr>
        <w:spacing w:before="120" w:after="120" w:line="240" w:lineRule="auto"/>
        <w:ind w:firstLine="288"/>
        <w:contextualSpacing/>
        <w:jc w:val="both"/>
        <w:rPr>
          <w:rFonts w:ascii="Times New Roman" w:hAnsi="Times New Roman" w:cs="Times New Roman"/>
          <w:noProof/>
        </w:rPr>
      </w:pPr>
    </w:p>
    <w:p w14:paraId="5C8C77D0" w14:textId="4CF89057" w:rsidR="00B30D84" w:rsidRPr="007C17A6" w:rsidRDefault="00B30D84" w:rsidP="0077421C">
      <w:pPr>
        <w:spacing w:before="120" w:after="120" w:line="240" w:lineRule="auto"/>
        <w:contextualSpacing/>
        <w:jc w:val="both"/>
        <w:rPr>
          <w:rFonts w:ascii="Times New Roman" w:hAnsi="Times New Roman" w:cs="Times New Roman"/>
          <w:sz w:val="24"/>
          <w:szCs w:val="24"/>
          <w:lang w:val="en-GB" w:eastAsia="en-GB"/>
        </w:rPr>
      </w:pPr>
      <w:bookmarkStart w:id="57" w:name="__UnoMark__823_582625014"/>
      <w:bookmarkEnd w:id="57"/>
      <w:r w:rsidRPr="007C17A6">
        <w:rPr>
          <w:rFonts w:ascii="Times New Roman" w:hAnsi="Times New Roman" w:cs="Times New Roman"/>
          <w:noProof/>
          <w:sz w:val="24"/>
          <w:szCs w:val="24"/>
          <w:lang w:val="en-GB" w:eastAsia="en-GB"/>
        </w:rPr>
        <w:t xml:space="preserve">To simulate neuronal adaptation </w:t>
      </w:r>
      <w:r w:rsidRPr="007C17A6">
        <w:rPr>
          <w:rFonts w:ascii="Times New Roman" w:hAnsi="Times New Roman" w:cs="Times New Roman"/>
          <w:noProof/>
        </w:rPr>
        <w:fldChar w:fldCharType="begin" w:fldLock="1"/>
      </w:r>
      <w:r w:rsidR="007F4106" w:rsidRPr="007C17A6">
        <w:rPr>
          <w:rFonts w:ascii="Times New Roman" w:hAnsi="Times New Roman" w:cs="Times New Roman"/>
          <w:noProof/>
        </w:rPr>
        <w:instrText>ADDIN CSL_CITATION { "citationItems" : [ { "id" : "ITEM-1", "itemData" : { "author" : [ { "dropping-particle" : "", "family" : "Kandel", "given" : "Eric R", "non-dropping-particle" : "", "parse-names" : false, "suffix" : "" }, { "dropping-particle" : "", "family" : "Schwartz", "given" : "James H", "non-dropping-particle" : "", "parse-names" : false, "suffix" : "" }, { "dropping-particle" : "", "family" : "Jessell", "given" : "Thomas M", "non-dropping-particle" : "", "parse-names" : false, "suffix" : "" } ], "id" : "ITEM-1", "issued" : { "date-parts" : [ [ "2000" ] ] }, "publisher" : "McGraw-hill New York", "title" : "Principles of neural science", "type" : "book", "volume" : "4" }, "uris" : [ "http://www.mendeley.com/documents/?uuid=37b581cb-a16b-4261-ab56-06b3f00d9174" ] } ], "mendeley" : { "formattedCitation" : "(Kandel et al., 2000)", "plainTextFormattedCitation" : "(Kandel et al., 2000)", "previouslyFormattedCitation" : "(Kandel et al., 2000)" }, "properties" : {  }, "schema" : "https://github.com/citation-style-language/schema/raw/master/csl-citation.json" }</w:instrText>
      </w:r>
      <w:r w:rsidRPr="007C17A6">
        <w:rPr>
          <w:rFonts w:ascii="Times New Roman" w:hAnsi="Times New Roman" w:cs="Times New Roman"/>
          <w:noProof/>
        </w:rPr>
        <w:fldChar w:fldCharType="separate"/>
      </w:r>
      <w:bookmarkStart w:id="58" w:name="__Fieldmark__836_582625014"/>
      <w:r w:rsidR="001C3C6B" w:rsidRPr="007C17A6">
        <w:rPr>
          <w:rFonts w:ascii="Times New Roman" w:hAnsi="Times New Roman" w:cs="Times New Roman"/>
          <w:noProof/>
          <w:sz w:val="24"/>
          <w:szCs w:val="24"/>
          <w:lang w:val="en-GB" w:eastAsia="en-GB"/>
        </w:rPr>
        <w:t>(Kandel et al., 2000)</w:t>
      </w:r>
      <w:r w:rsidRPr="007C17A6">
        <w:rPr>
          <w:rFonts w:ascii="Times New Roman" w:hAnsi="Times New Roman" w:cs="Times New Roman"/>
          <w:noProof/>
        </w:rPr>
        <w:fldChar w:fldCharType="end"/>
      </w:r>
      <w:bookmarkEnd w:id="58"/>
      <w:r w:rsidRPr="007C17A6">
        <w:rPr>
          <w:rFonts w:ascii="Times New Roman" w:hAnsi="Times New Roman" w:cs="Times New Roman"/>
          <w:sz w:val="24"/>
          <w:szCs w:val="24"/>
          <w:lang w:val="en-GB" w:eastAsia="en-GB"/>
        </w:rPr>
        <w:t>, the function</w:t>
      </w:r>
      <w:r w:rsidRPr="007C17A6">
        <w:rPr>
          <w:sz w:val="24"/>
          <w:szCs w:val="24"/>
          <w:lang w:val="en-GB" w:eastAsia="en-GB"/>
        </w:rPr>
        <w:t xml:space="preserve"> </w:t>
      </w:r>
      <w:r w:rsidRPr="007C17A6">
        <w:rPr>
          <w:rFonts w:ascii="Symbol" w:eastAsia="Symbol" w:hAnsi="Symbol" w:cs="Symbol"/>
          <w:i/>
          <w:sz w:val="24"/>
          <w:szCs w:val="24"/>
          <w:lang w:val="en-GB" w:eastAsia="en-GB"/>
        </w:rPr>
        <w:t></w:t>
      </w:r>
      <w:r w:rsidRPr="007C17A6">
        <w:rPr>
          <w:rFonts w:ascii="Times New Roman" w:hAnsi="Times New Roman" w:cs="Times New Roman"/>
          <w:sz w:val="24"/>
          <w:szCs w:val="24"/>
          <w:lang w:val="en-GB" w:eastAsia="en-GB"/>
        </w:rPr>
        <w:t>(</w:t>
      </w:r>
      <w:r w:rsidRPr="007C17A6">
        <w:rPr>
          <w:rFonts w:ascii="Times New Roman" w:hAnsi="Times New Roman" w:cs="Times New Roman"/>
          <w:i/>
          <w:sz w:val="24"/>
          <w:szCs w:val="24"/>
          <w:lang w:val="en-GB" w:eastAsia="en-GB"/>
        </w:rPr>
        <w:t>·,t</w:t>
      </w:r>
      <w:r w:rsidRPr="007C17A6">
        <w:rPr>
          <w:rFonts w:ascii="Times New Roman" w:hAnsi="Times New Roman" w:cs="Times New Roman"/>
          <w:sz w:val="24"/>
          <w:szCs w:val="24"/>
          <w:lang w:val="en-GB" w:eastAsia="en-GB"/>
        </w:rPr>
        <w:t>)</w:t>
      </w:r>
      <w:r w:rsidRPr="007C17A6">
        <w:rPr>
          <w:sz w:val="24"/>
          <w:szCs w:val="24"/>
          <w:lang w:val="en-GB" w:eastAsia="en-GB"/>
        </w:rPr>
        <w:t xml:space="preserve"> </w:t>
      </w:r>
      <w:r w:rsidRPr="007C17A6">
        <w:rPr>
          <w:rFonts w:ascii="Times New Roman" w:hAnsi="Times New Roman" w:cs="Times New Roman"/>
          <w:sz w:val="24"/>
          <w:szCs w:val="24"/>
          <w:lang w:val="en-GB" w:eastAsia="en-GB"/>
        </w:rPr>
        <w:t xml:space="preserve">is defined </w:t>
      </w:r>
      <w:r w:rsidRPr="007C17A6">
        <w:rPr>
          <w:rFonts w:ascii="Times New Roman" w:hAnsi="Times New Roman" w:cs="Times New Roman"/>
          <w:noProof/>
          <w:sz w:val="24"/>
          <w:szCs w:val="24"/>
          <w:lang w:val="en-GB" w:eastAsia="en-GB"/>
        </w:rPr>
        <w:t>so as to</w:t>
      </w:r>
      <w:r w:rsidRPr="007C17A6">
        <w:rPr>
          <w:rFonts w:ascii="Times New Roman" w:hAnsi="Times New Roman" w:cs="Times New Roman"/>
          <w:sz w:val="24"/>
          <w:szCs w:val="24"/>
          <w:lang w:val="en-GB" w:eastAsia="en-GB"/>
        </w:rPr>
        <w:t xml:space="preserve"> track the cell’s most recent firing-rate </w:t>
      </w:r>
      <w:r w:rsidRPr="007C17A6">
        <w:rPr>
          <w:rFonts w:ascii="Times New Roman" w:hAnsi="Times New Roman" w:cs="Times New Roman"/>
          <w:noProof/>
          <w:sz w:val="24"/>
          <w:szCs w:val="24"/>
          <w:lang w:val="en-GB" w:eastAsia="en-GB"/>
        </w:rPr>
        <w:t>activity. More precisely, the amount of adaptation</w:t>
      </w:r>
      <w:r w:rsidRPr="007C17A6">
        <w:rPr>
          <w:noProof/>
          <w:sz w:val="24"/>
          <w:szCs w:val="24"/>
          <w:lang w:val="en-GB" w:eastAsia="en-GB"/>
        </w:rPr>
        <w:t xml:space="preserve"> </w:t>
      </w:r>
      <w:r w:rsidRPr="007C17A6">
        <w:rPr>
          <w:rFonts w:ascii="Symbol" w:eastAsia="Symbol" w:hAnsi="Symbol" w:cs="Symbol"/>
          <w:i/>
          <w:noProof/>
          <w:sz w:val="24"/>
          <w:szCs w:val="24"/>
          <w:lang w:val="en-GB" w:eastAsia="en-GB"/>
        </w:rPr>
        <w:t></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e,t</w:t>
      </w:r>
      <w:r w:rsidRPr="007C17A6">
        <w:rPr>
          <w:rFonts w:ascii="Times New Roman" w:hAnsi="Times New Roman" w:cs="Times New Roman"/>
          <w:noProof/>
          <w:sz w:val="24"/>
          <w:szCs w:val="24"/>
          <w:lang w:val="en-GB" w:eastAsia="en-GB"/>
        </w:rPr>
        <w:t>)</w:t>
      </w:r>
      <w:r w:rsidRPr="007C17A6">
        <w:rPr>
          <w:noProof/>
          <w:sz w:val="24"/>
          <w:szCs w:val="24"/>
          <w:lang w:val="en-GB" w:eastAsia="en-GB"/>
        </w:rPr>
        <w:t xml:space="preserve"> </w:t>
      </w:r>
      <w:r w:rsidRPr="007C17A6">
        <w:rPr>
          <w:rFonts w:ascii="Times New Roman" w:hAnsi="Times New Roman" w:cs="Times New Roman"/>
          <w:noProof/>
          <w:sz w:val="24"/>
          <w:szCs w:val="24"/>
          <w:lang w:val="en-GB" w:eastAsia="en-GB"/>
        </w:rPr>
        <w:t xml:space="preserve">of cell </w:t>
      </w:r>
      <w:r w:rsidRPr="007C17A6">
        <w:rPr>
          <w:rFonts w:ascii="Times New Roman" w:hAnsi="Times New Roman" w:cs="Times New Roman"/>
          <w:i/>
          <w:noProof/>
          <w:sz w:val="24"/>
          <w:szCs w:val="24"/>
          <w:lang w:val="en-GB" w:eastAsia="en-GB"/>
        </w:rPr>
        <w:t>e</w:t>
      </w:r>
      <w:r w:rsidRPr="007C17A6">
        <w:rPr>
          <w:rFonts w:ascii="Times New Roman" w:hAnsi="Times New Roman" w:cs="Times New Roman"/>
          <w:noProof/>
          <w:sz w:val="24"/>
          <w:szCs w:val="24"/>
          <w:lang w:val="en-GB" w:eastAsia="en-GB"/>
        </w:rPr>
        <w:t xml:space="preserve"> at time </w:t>
      </w:r>
      <w:r w:rsidRPr="007C17A6">
        <w:rPr>
          <w:rFonts w:ascii="Times New Roman" w:hAnsi="Times New Roman" w:cs="Times New Roman"/>
          <w:i/>
          <w:noProof/>
          <w:sz w:val="24"/>
          <w:szCs w:val="24"/>
          <w:lang w:val="en-GB" w:eastAsia="en-GB"/>
        </w:rPr>
        <w:t>t</w:t>
      </w:r>
      <w:r w:rsidRPr="007C17A6">
        <w:rPr>
          <w:rFonts w:ascii="Times New Roman" w:hAnsi="Times New Roman" w:cs="Times New Roman"/>
          <w:noProof/>
          <w:sz w:val="24"/>
          <w:szCs w:val="24"/>
          <w:lang w:val="en-GB" w:eastAsia="en-GB"/>
        </w:rPr>
        <w:t xml:space="preserve"> is defined by:</w:t>
      </w:r>
    </w:p>
    <w:p w14:paraId="24127E96" w14:textId="77777777" w:rsidR="00E740D6" w:rsidRPr="007C17A6" w:rsidRDefault="00E740D6" w:rsidP="00E740D6">
      <w:pPr>
        <w:spacing w:before="120" w:after="120" w:line="240" w:lineRule="auto"/>
        <w:ind w:firstLine="288"/>
        <w:contextualSpacing/>
        <w:jc w:val="both"/>
        <w:rPr>
          <w:rFonts w:ascii="Times New Roman" w:hAnsi="Times New Roman" w:cs="Times New Roman"/>
        </w:rPr>
      </w:pPr>
    </w:p>
    <w:p w14:paraId="13DD4E7E" w14:textId="77777777" w:rsidR="00B30D84" w:rsidRPr="007C17A6" w:rsidRDefault="00B30D84" w:rsidP="00E740D6">
      <w:pPr>
        <w:spacing w:before="120" w:after="120" w:line="240" w:lineRule="auto"/>
        <w:ind w:firstLine="288"/>
        <w:contextualSpacing/>
        <w:jc w:val="center"/>
        <w:rPr>
          <w:sz w:val="24"/>
          <w:szCs w:val="24"/>
          <w:lang w:val="en-GB" w:eastAsia="en-GB"/>
        </w:rPr>
      </w:pPr>
      <w:r w:rsidRPr="007C17A6">
        <w:rPr>
          <w:noProof/>
        </w:rPr>
        <mc:AlternateContent>
          <mc:Choice Requires="wps">
            <w:drawing>
              <wp:anchor distT="0" distB="12700" distL="114300" distR="126365" simplePos="0" relativeHeight="251661312" behindDoc="0" locked="0" layoutInCell="1" allowOverlap="1" wp14:anchorId="547AE052" wp14:editId="08FC90BF">
                <wp:simplePos x="0" y="0"/>
                <wp:positionH relativeFrom="column">
                  <wp:posOffset>4739640</wp:posOffset>
                </wp:positionH>
                <wp:positionV relativeFrom="paragraph">
                  <wp:posOffset>95885</wp:posOffset>
                </wp:positionV>
                <wp:extent cx="445770" cy="191135"/>
                <wp:effectExtent l="0" t="0" r="11430" b="12065"/>
                <wp:wrapNone/>
                <wp:docPr id="9" name="Text Box 208"/>
                <wp:cNvGraphicFramePr/>
                <a:graphic xmlns:a="http://schemas.openxmlformats.org/drawingml/2006/main">
                  <a:graphicData uri="http://schemas.microsoft.com/office/word/2010/wordprocessingShape">
                    <wps:wsp>
                      <wps:cNvSpPr/>
                      <wps:spPr>
                        <a:xfrm>
                          <a:off x="0" y="0"/>
                          <a:ext cx="445770" cy="19113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28716CB" w14:textId="77777777" w:rsidR="000A22B8" w:rsidRDefault="000A22B8" w:rsidP="00B30D84">
                            <w:pPr>
                              <w:pStyle w:val="FrameContents"/>
                            </w:pPr>
                            <w:r>
                              <w:rPr>
                                <w:rFonts w:ascii="Helvetica" w:hAnsi="Helvetica" w:cs="Arial"/>
                                <w:color w:val="auto"/>
                              </w:rPr>
                              <w:t>(B3.1)</w:t>
                            </w:r>
                          </w:p>
                        </w:txbxContent>
                      </wps:txbx>
                      <wps:bodyPr lIns="0" tIns="0" rIns="0" bIns="0">
                        <a:noAutofit/>
                      </wps:bodyPr>
                    </wps:wsp>
                  </a:graphicData>
                </a:graphic>
              </wp:anchor>
            </w:drawing>
          </mc:Choice>
          <mc:Fallback>
            <w:pict>
              <v:rect w14:anchorId="547AE052" id="Text Box 208" o:spid="_x0000_s1033" style="position:absolute;left:0;text-align:left;margin-left:373.2pt;margin-top:7.55pt;width:35.1pt;height:15.05pt;z-index:251661312;visibility:visible;mso-wrap-style:square;mso-wrap-distance-left:9pt;mso-wrap-distance-top:0;mso-wrap-distance-right:9.95pt;mso-wrap-distance-bottom:1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QnK6QEAAEEEAAAOAAAAZHJzL2Uyb0RvYy54bWysU8FuEzEQvSPxD5bvZLOhpW2UTQVUQUiI&#13;&#10;VrR8gNdrJ5Zsj2W72c3fM57dJAVOReTgjL3z3vi9Ga9uB2fZXsVkwDe8ns05U15CZ/y24T+fNu+u&#13;&#10;OUtZ+E5Y8KrhB5X47frtm1UflmoBO7CdigxJfFr2oeG7nMOyqpLcKSfSDILy+FFDdCLjNm6rLooe&#13;&#10;2Z2tFvP5h6qH2IUIUqWEp3fjR74mfq2VzPdaJ5WZbTjeLdMaaW3LWq1XYrmNIuyMnK4h/uEWThiP&#13;&#10;RU9UdyIL9hzNX1TOyAgJdJ5JcBVobaQiDaimnv+h5nEngiItaE4KJ5vS/6OV3/cPkZmu4TeceeGw&#13;&#10;RU9qyOwTDGwxvy7+9CEtMe0xPMRplzAsYgcdXflHGWwgTw8nTwuJxMOLi8urK3Re4qf6pq7fXxbO&#13;&#10;6gwOMeUvChwrQcMjtoycFPtvKY+px5RSK4E13cZYS5u4bT/byPYC27uh38T+W5r1JdlDgY2M5aQq&#13;&#10;wkYpFOWDVSXP+h9KoyWkiKrIqcw4NzjYqOc4PaiEACVRI/8rsROkoBWN6yvxJxDVB59PeGc8RHLj&#13;&#10;hboS5qEdqOPUiXLSQnfAKbBfPU5WeSXHIB6DdgpKFQ8fnzNoQ805wydDcU6pvdObKg/h5Z6yzi9/&#13;&#10;/QsAAP//AwBQSwMEFAAGAAgAAAAhACM6YYbgAAAADgEAAA8AAABkcnMvZG93bnJldi54bWxMT8tO&#13;&#10;wzAQvCPxD9YicaNOqjRUaZwKUVDPBBBXN17itH5EsdMavp7lBJeRVjM7j3qbrGFnnMLgnYB8kQFD&#13;&#10;13k1uF7A2+vz3RpYiNIpabxDAV8YYNtcX9WyUv7iXvDcxp6RiQuVFKBjHCvOQ6fRyrDwIzriPv1k&#13;&#10;ZaRz6rma5IXMreHLLCu5lYOjBC1HfNTYndrZCtjnu6fxyL9buTcR53edOvORhLi9SbsNwcMGWMQU&#13;&#10;/z7gdwP1h4aKHfzsVGBGwH1RFiQlYpUDI8E6L0tgBwHFagm8qfn/Gc0PAAAA//8DAFBLAQItABQA&#13;&#10;BgAIAAAAIQC2gziS/gAAAOEBAAATAAAAAAAAAAAAAAAAAAAAAABbQ29udGVudF9UeXBlc10ueG1s&#13;&#10;UEsBAi0AFAAGAAgAAAAhADj9If/WAAAAlAEAAAsAAAAAAAAAAAAAAAAALwEAAF9yZWxzLy5yZWxz&#13;&#10;UEsBAi0AFAAGAAgAAAAhAJL1CcrpAQAAQQQAAA4AAAAAAAAAAAAAAAAALgIAAGRycy9lMm9Eb2Mu&#13;&#10;eG1sUEsBAi0AFAAGAAgAAAAhACM6YYbgAAAADgEAAA8AAAAAAAAAAAAAAAAAQwQAAGRycy9kb3du&#13;&#10;cmV2LnhtbFBLBQYAAAAABAAEAPMAAABQBQAAAAA=&#13;&#10;" stroked="f">
                <v:textbox inset="0,0,0,0">
                  <w:txbxContent>
                    <w:p w14:paraId="428716CB" w14:textId="77777777" w:rsidR="000A22B8" w:rsidRDefault="000A22B8" w:rsidP="00B30D84">
                      <w:pPr>
                        <w:pStyle w:val="FrameContents"/>
                      </w:pPr>
                      <w:r>
                        <w:rPr>
                          <w:rFonts w:ascii="Helvetica" w:hAnsi="Helvetica" w:cs="Arial"/>
                          <w:color w:val="auto"/>
                        </w:rPr>
                        <w:t>(B3.1)</w:t>
                      </w:r>
                    </w:p>
                  </w:txbxContent>
                </v:textbox>
              </v:rect>
            </w:pict>
          </mc:Fallback>
        </mc:AlternateContent>
      </w:r>
      <m:oMath>
        <m:sSub>
          <m:sSubPr>
            <m:ctrlPr>
              <w:rPr>
                <w:rFonts w:ascii="Cambria Math" w:hAnsi="Cambria Math"/>
                <w:sz w:val="24"/>
                <w:szCs w:val="24"/>
              </w:rPr>
            </m:ctrlPr>
          </m:sSubPr>
          <m:e>
            <m:r>
              <w:rPr>
                <w:rFonts w:ascii="Cambria Math" w:hAnsi="Cambria Math"/>
                <w:sz w:val="24"/>
                <w:szCs w:val="24"/>
              </w:rPr>
              <m:t>τ</m:t>
            </m:r>
          </m:e>
          <m:sub>
            <m:r>
              <w:rPr>
                <w:rFonts w:ascii="Cambria Math" w:hAnsi="Cambria Math"/>
                <w:sz w:val="24"/>
                <w:szCs w:val="24"/>
              </w:rPr>
              <m:t>ADAPT</m:t>
            </m:r>
          </m:sub>
        </m:sSub>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dω</m:t>
            </m:r>
            <m:d>
              <m:dPr>
                <m:ctrlPr>
                  <w:rPr>
                    <w:rFonts w:ascii="Cambria Math" w:hAnsi="Cambria Math"/>
                    <w:i/>
                    <w:sz w:val="24"/>
                    <w:szCs w:val="24"/>
                  </w:rPr>
                </m:ctrlPr>
              </m:dPr>
              <m:e>
                <m:r>
                  <w:rPr>
                    <w:rFonts w:ascii="Cambria Math" w:hAnsi="Cambria Math"/>
                    <w:sz w:val="24"/>
                    <w:szCs w:val="24"/>
                  </w:rPr>
                  <m:t>e,t</m:t>
                </m:r>
              </m:e>
            </m:d>
          </m:num>
          <m:den>
            <m:r>
              <w:rPr>
                <w:rFonts w:ascii="Cambria Math" w:hAnsi="Cambria Math"/>
                <w:sz w:val="24"/>
                <w:szCs w:val="24"/>
              </w:rPr>
              <m:t>dt</m:t>
            </m:r>
          </m:den>
        </m:f>
        <m:r>
          <w:rPr>
            <w:rFonts w:ascii="Cambria Math" w:hAnsi="Cambria Math"/>
            <w:sz w:val="24"/>
            <w:szCs w:val="24"/>
          </w:rPr>
          <m:t>=-ω</m:t>
        </m:r>
        <m:d>
          <m:dPr>
            <m:ctrlPr>
              <w:rPr>
                <w:rFonts w:ascii="Cambria Math" w:hAnsi="Cambria Math"/>
                <w:i/>
                <w:sz w:val="24"/>
                <w:szCs w:val="24"/>
              </w:rPr>
            </m:ctrlPr>
          </m:dPr>
          <m:e>
            <m:r>
              <w:rPr>
                <w:rFonts w:ascii="Cambria Math" w:hAnsi="Cambria Math"/>
                <w:sz w:val="24"/>
                <w:szCs w:val="24"/>
              </w:rPr>
              <m:t>e,t</m:t>
            </m:r>
          </m:e>
        </m:d>
        <m:r>
          <w:rPr>
            <w:rFonts w:ascii="Cambria Math" w:hAnsi="Cambria Math"/>
            <w:sz w:val="24"/>
            <w:szCs w:val="24"/>
          </w:rPr>
          <m:t>+ϕ(e,t)</m:t>
        </m:r>
      </m:oMath>
    </w:p>
    <w:p w14:paraId="5A98FEF4" w14:textId="77777777" w:rsidR="00E740D6" w:rsidRPr="007C17A6" w:rsidRDefault="00E740D6" w:rsidP="00E740D6">
      <w:pPr>
        <w:spacing w:before="120" w:after="120" w:line="240" w:lineRule="auto"/>
        <w:ind w:firstLine="288"/>
        <w:contextualSpacing/>
        <w:jc w:val="both"/>
        <w:rPr>
          <w:rFonts w:ascii="Times New Roman" w:hAnsi="Times New Roman" w:cs="Times New Roman"/>
          <w:sz w:val="24"/>
          <w:szCs w:val="24"/>
          <w:lang w:val="en-GB" w:eastAsia="en-GB"/>
        </w:rPr>
      </w:pPr>
    </w:p>
    <w:p w14:paraId="2C18E8C7" w14:textId="77777777" w:rsidR="00B30D84" w:rsidRPr="007C17A6" w:rsidRDefault="00B30D84" w:rsidP="0077421C">
      <w:pPr>
        <w:spacing w:before="120" w:after="120" w:line="240" w:lineRule="auto"/>
        <w:contextualSpacing/>
        <w:jc w:val="both"/>
        <w:rPr>
          <w:rFonts w:ascii="Times New Roman" w:hAnsi="Times New Roman" w:cs="Times New Roman"/>
          <w:sz w:val="24"/>
          <w:szCs w:val="24"/>
          <w:lang w:val="en-GB" w:eastAsia="en-GB"/>
        </w:rPr>
      </w:pPr>
      <w:r w:rsidRPr="007C17A6">
        <w:rPr>
          <w:rFonts w:ascii="Times New Roman" w:hAnsi="Times New Roman" w:cs="Times New Roman"/>
          <w:sz w:val="24"/>
          <w:szCs w:val="24"/>
          <w:lang w:val="en-GB" w:eastAsia="en-GB"/>
        </w:rPr>
        <w:t xml:space="preserve">where </w:t>
      </w:r>
      <m:oMath>
        <m:sSub>
          <m:sSubPr>
            <m:ctrlPr>
              <w:rPr>
                <w:rFonts w:ascii="Cambria Math" w:hAnsi="Cambria Math" w:cs="Times New Roman"/>
              </w:rPr>
            </m:ctrlPr>
          </m:sSubPr>
          <m:e>
            <m:r>
              <w:rPr>
                <w:rFonts w:ascii="Cambria Math" w:hAnsi="Cambria Math" w:cs="Times New Roman"/>
              </w:rPr>
              <m:t>τ</m:t>
            </m:r>
          </m:e>
          <m:sub>
            <m:r>
              <w:rPr>
                <w:rFonts w:ascii="Cambria Math" w:hAnsi="Cambria Math" w:cs="Times New Roman"/>
              </w:rPr>
              <m:t>ADAPT</m:t>
            </m:r>
          </m:sub>
        </m:sSub>
      </m:oMath>
      <w:r w:rsidRPr="007C17A6">
        <w:rPr>
          <w:rFonts w:ascii="Times New Roman" w:hAnsi="Times New Roman" w:cs="Times New Roman"/>
          <w:sz w:val="24"/>
          <w:szCs w:val="24"/>
          <w:lang w:val="en-GB" w:eastAsia="en-GB"/>
        </w:rPr>
        <w:t xml:space="preserve"> is the “adaptation” time constant. The solution</w:t>
      </w:r>
      <w:r w:rsidRPr="007C17A6">
        <w:rPr>
          <w:sz w:val="24"/>
          <w:szCs w:val="24"/>
          <w:lang w:val="en-GB" w:eastAsia="en-GB"/>
        </w:rPr>
        <w:t xml:space="preserve"> </w:t>
      </w:r>
      <w:r w:rsidRPr="007C17A6">
        <w:rPr>
          <w:rFonts w:ascii="Symbol" w:eastAsia="Symbol" w:hAnsi="Symbol" w:cs="Symbol"/>
          <w:i/>
          <w:sz w:val="24"/>
          <w:szCs w:val="24"/>
          <w:lang w:val="en-GB" w:eastAsia="en-GB"/>
        </w:rPr>
        <w:t></w:t>
      </w:r>
      <w:r w:rsidRPr="007C17A6">
        <w:rPr>
          <w:sz w:val="24"/>
          <w:szCs w:val="24"/>
          <w:lang w:val="en-GB" w:eastAsia="en-GB"/>
        </w:rPr>
        <w:t>(</w:t>
      </w:r>
      <w:proofErr w:type="spellStart"/>
      <w:r w:rsidRPr="007C17A6">
        <w:rPr>
          <w:i/>
          <w:sz w:val="24"/>
          <w:szCs w:val="24"/>
          <w:lang w:val="en-GB" w:eastAsia="en-GB"/>
        </w:rPr>
        <w:t>e,t</w:t>
      </w:r>
      <w:proofErr w:type="spellEnd"/>
      <w:r w:rsidRPr="007C17A6">
        <w:rPr>
          <w:sz w:val="24"/>
          <w:szCs w:val="24"/>
          <w:lang w:val="en-GB" w:eastAsia="en-GB"/>
        </w:rPr>
        <w:t xml:space="preserve">) </w:t>
      </w:r>
      <w:r w:rsidRPr="007C17A6">
        <w:rPr>
          <w:rFonts w:ascii="Times New Roman" w:hAnsi="Times New Roman" w:cs="Times New Roman"/>
          <w:sz w:val="24"/>
          <w:szCs w:val="24"/>
          <w:lang w:val="en-GB" w:eastAsia="en-GB"/>
        </w:rPr>
        <w:t xml:space="preserve">of Eq. (B3.1) is the low-pass-filtered output </w:t>
      </w:r>
      <w:r w:rsidRPr="007C17A6">
        <w:rPr>
          <w:rFonts w:ascii="Times New Roman" w:hAnsi="Times New Roman" w:cs="Times New Roman"/>
          <w:i/>
          <w:sz w:val="24"/>
          <w:szCs w:val="24"/>
          <w:lang w:val="en-GB" w:eastAsia="en-GB"/>
        </w:rPr>
        <w:t>ϕ</w:t>
      </w:r>
      <w:r w:rsidRPr="007C17A6">
        <w:rPr>
          <w:rFonts w:ascii="Times New Roman" w:hAnsi="Times New Roman" w:cs="Times New Roman"/>
          <w:sz w:val="24"/>
          <w:szCs w:val="24"/>
          <w:lang w:val="en-GB" w:eastAsia="en-GB"/>
        </w:rPr>
        <w:t xml:space="preserve"> of cell </w:t>
      </w:r>
      <w:r w:rsidRPr="007C17A6">
        <w:rPr>
          <w:rFonts w:ascii="Times New Roman" w:hAnsi="Times New Roman" w:cs="Times New Roman"/>
          <w:i/>
          <w:sz w:val="24"/>
          <w:szCs w:val="24"/>
          <w:lang w:val="en-GB" w:eastAsia="en-GB"/>
        </w:rPr>
        <w:t>e</w:t>
      </w:r>
      <w:r w:rsidRPr="007C17A6">
        <w:rPr>
          <w:rFonts w:ascii="Times New Roman" w:hAnsi="Times New Roman" w:cs="Times New Roman"/>
          <w:sz w:val="24"/>
          <w:szCs w:val="24"/>
          <w:lang w:val="en-GB" w:eastAsia="en-GB"/>
        </w:rPr>
        <w:t>, which provides an estimate of the cell’s most recent firing-rate history. A cell’s average firing activity is also used to specify the network’s Hebbian plasticity rule (see Eq. (B4) below); in this context, the (estimated) instantaneous mean firing rate</w:t>
      </w:r>
      <w:r w:rsidRPr="007C17A6">
        <w:rPr>
          <w:sz w:val="24"/>
          <w:szCs w:val="24"/>
          <w:lang w:val="en-GB" w:eastAsia="en-GB"/>
        </w:rPr>
        <w:t xml:space="preserve"> </w:t>
      </w:r>
      <w:r w:rsidRPr="007C17A6">
        <w:rPr>
          <w:rFonts w:ascii="Symbol" w:eastAsia="Symbol" w:hAnsi="Symbol" w:cs="Symbol"/>
          <w:i/>
          <w:sz w:val="24"/>
          <w:szCs w:val="24"/>
          <w:lang w:val="en-GB" w:eastAsia="en-GB"/>
        </w:rPr>
        <w:t></w:t>
      </w:r>
      <w:r w:rsidRPr="007C17A6">
        <w:rPr>
          <w:i/>
          <w:sz w:val="24"/>
          <w:szCs w:val="24"/>
          <w:vertAlign w:val="subscript"/>
          <w:lang w:val="en-GB" w:eastAsia="en-GB"/>
        </w:rPr>
        <w:t>E</w:t>
      </w:r>
      <w:r w:rsidRPr="007C17A6">
        <w:rPr>
          <w:rFonts w:ascii="Times New Roman" w:hAnsi="Times New Roman" w:cs="Times New Roman"/>
          <w:sz w:val="24"/>
          <w:szCs w:val="24"/>
          <w:lang w:val="en-GB" w:eastAsia="en-GB"/>
        </w:rPr>
        <w:t>(</w:t>
      </w:r>
      <w:proofErr w:type="spellStart"/>
      <w:r w:rsidRPr="007C17A6">
        <w:rPr>
          <w:rFonts w:ascii="Times New Roman" w:hAnsi="Times New Roman" w:cs="Times New Roman"/>
          <w:i/>
          <w:sz w:val="24"/>
          <w:szCs w:val="24"/>
          <w:lang w:val="en-GB" w:eastAsia="en-GB"/>
        </w:rPr>
        <w:t>e</w:t>
      </w:r>
      <w:r w:rsidRPr="007C17A6">
        <w:rPr>
          <w:rFonts w:ascii="Times New Roman" w:hAnsi="Times New Roman" w:cs="Times New Roman"/>
          <w:sz w:val="24"/>
          <w:szCs w:val="24"/>
          <w:lang w:val="en-GB" w:eastAsia="en-GB"/>
        </w:rPr>
        <w:t>,</w:t>
      </w:r>
      <w:r w:rsidRPr="007C17A6">
        <w:rPr>
          <w:rFonts w:ascii="Times New Roman" w:hAnsi="Times New Roman" w:cs="Times New Roman"/>
          <w:i/>
          <w:sz w:val="24"/>
          <w:szCs w:val="24"/>
          <w:lang w:val="en-GB" w:eastAsia="en-GB"/>
        </w:rPr>
        <w:t>t</w:t>
      </w:r>
      <w:proofErr w:type="spellEnd"/>
      <w:r w:rsidRPr="007C17A6">
        <w:rPr>
          <w:rFonts w:ascii="Times New Roman" w:hAnsi="Times New Roman" w:cs="Times New Roman"/>
          <w:sz w:val="24"/>
          <w:szCs w:val="24"/>
          <w:lang w:val="en-GB" w:eastAsia="en-GB"/>
        </w:rPr>
        <w:t>)</w:t>
      </w:r>
      <w:r w:rsidRPr="007C17A6">
        <w:rPr>
          <w:sz w:val="24"/>
          <w:szCs w:val="24"/>
          <w:lang w:val="en-GB" w:eastAsia="en-GB"/>
        </w:rPr>
        <w:t xml:space="preserve"> </w:t>
      </w:r>
      <w:r w:rsidRPr="007C17A6">
        <w:rPr>
          <w:rFonts w:ascii="Times New Roman" w:hAnsi="Times New Roman" w:cs="Times New Roman"/>
          <w:sz w:val="24"/>
          <w:szCs w:val="24"/>
          <w:lang w:val="en-GB" w:eastAsia="en-GB"/>
        </w:rPr>
        <w:t xml:space="preserve">of an excitatory neuron </w:t>
      </w:r>
      <w:r w:rsidRPr="007C17A6">
        <w:rPr>
          <w:rFonts w:ascii="Times New Roman" w:hAnsi="Times New Roman" w:cs="Times New Roman"/>
          <w:i/>
          <w:sz w:val="24"/>
          <w:szCs w:val="24"/>
          <w:lang w:val="en-GB" w:eastAsia="en-GB"/>
        </w:rPr>
        <w:t>e</w:t>
      </w:r>
      <w:r w:rsidRPr="007C17A6">
        <w:rPr>
          <w:rFonts w:ascii="Times New Roman" w:hAnsi="Times New Roman" w:cs="Times New Roman"/>
          <w:sz w:val="24"/>
          <w:szCs w:val="24"/>
          <w:lang w:val="en-GB" w:eastAsia="en-GB"/>
        </w:rPr>
        <w:t xml:space="preserve"> is defined as:</w:t>
      </w:r>
    </w:p>
    <w:p w14:paraId="06ADEC92" w14:textId="77777777" w:rsidR="00E740D6" w:rsidRPr="007C17A6" w:rsidRDefault="00E740D6" w:rsidP="00E740D6">
      <w:pPr>
        <w:spacing w:before="120" w:after="120" w:line="240" w:lineRule="auto"/>
        <w:ind w:firstLine="288"/>
        <w:contextualSpacing/>
        <w:jc w:val="both"/>
        <w:rPr>
          <w:rFonts w:ascii="Times New Roman" w:hAnsi="Times New Roman" w:cs="Times New Roman"/>
        </w:rPr>
      </w:pPr>
    </w:p>
    <w:bookmarkStart w:id="59" w:name="__UnoMark__916_582625014"/>
    <w:bookmarkEnd w:id="59"/>
    <w:p w14:paraId="52A6EC30" w14:textId="77777777" w:rsidR="00B30D84" w:rsidRPr="007C17A6" w:rsidRDefault="00B30D84" w:rsidP="00E740D6">
      <w:pPr>
        <w:spacing w:before="120" w:after="120" w:line="240" w:lineRule="auto"/>
        <w:ind w:firstLine="288"/>
        <w:contextualSpacing/>
        <w:jc w:val="center"/>
        <w:rPr>
          <w:sz w:val="24"/>
          <w:szCs w:val="24"/>
          <w:lang w:val="en-GB" w:eastAsia="en-GB"/>
        </w:rPr>
      </w:pPr>
      <w:r w:rsidRPr="007C17A6">
        <w:rPr>
          <w:noProof/>
          <w:sz w:val="24"/>
          <w:szCs w:val="24"/>
        </w:rPr>
        <mc:AlternateContent>
          <mc:Choice Requires="wps">
            <w:drawing>
              <wp:anchor distT="0" distB="0" distL="114300" distR="114300" simplePos="0" relativeHeight="251663360" behindDoc="0" locked="0" layoutInCell="1" allowOverlap="1" wp14:anchorId="5C499287" wp14:editId="0D872627">
                <wp:simplePos x="0" y="0"/>
                <wp:positionH relativeFrom="column">
                  <wp:posOffset>4800600</wp:posOffset>
                </wp:positionH>
                <wp:positionV relativeFrom="paragraph">
                  <wp:posOffset>-4445</wp:posOffset>
                </wp:positionV>
                <wp:extent cx="445770" cy="297180"/>
                <wp:effectExtent l="0" t="0" r="11430" b="7620"/>
                <wp:wrapNone/>
                <wp:docPr id="10" name="Text Box 209"/>
                <wp:cNvGraphicFramePr/>
                <a:graphic xmlns:a="http://schemas.openxmlformats.org/drawingml/2006/main">
                  <a:graphicData uri="http://schemas.microsoft.com/office/word/2010/wordprocessingShape">
                    <wps:wsp>
                      <wps:cNvSpPr/>
                      <wps:spPr>
                        <a:xfrm>
                          <a:off x="0" y="0"/>
                          <a:ext cx="445770" cy="2971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8249F4" w14:textId="77777777" w:rsidR="000A22B8" w:rsidRDefault="000A22B8" w:rsidP="00B30D84">
                            <w:pPr>
                              <w:pStyle w:val="FrameContents"/>
                            </w:pPr>
                            <w:r>
                              <w:rPr>
                                <w:rFonts w:ascii="Helvetica" w:hAnsi="Helvetica" w:cs="Arial"/>
                                <w:color w:val="auto"/>
                              </w:rPr>
                              <w:t>(B3.2)</w:t>
                            </w:r>
                          </w:p>
                        </w:txbxContent>
                      </wps:txbx>
                      <wps:bodyPr lIns="0" tIns="0" rIns="0" bIns="0">
                        <a:noAutofit/>
                      </wps:bodyPr>
                    </wps:wsp>
                  </a:graphicData>
                </a:graphic>
                <wp14:sizeRelV relativeFrom="margin">
                  <wp14:pctHeight>0</wp14:pctHeight>
                </wp14:sizeRelV>
              </wp:anchor>
            </w:drawing>
          </mc:Choice>
          <mc:Fallback>
            <w:pict>
              <v:rect w14:anchorId="5C499287" id="Text Box 209" o:spid="_x0000_s1034" style="position:absolute;left:0;text-align:left;margin-left:378pt;margin-top:-.35pt;width:35.1pt;height:23.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Huj7QEAAEIEAAAOAAAAZHJzL2Uyb0RvYy54bWysU8Fu2zAMvQ/YPwi+L06CrmmNOMW2IsOA&#13;&#10;YSvW9gNkWYoFSKIgqbHz96NoO+22U4vloFAW36PeI7W9GaxhRxmiBlcXq8WyYNIJaLU71MXjw/7D&#13;&#10;VcFi4q7lBpysi5OMxc3u/btt7yu5hg5MKwNDEher3tdFl5KvyjKKTloeF+Clw0MFwfKE23Ao28B7&#13;&#10;ZLemXC+Xl2UPofUBhIwRv96Oh8WO+JWSIv1UKsrETF3g3RKtgdYmr+Vuy6tD4L7TYroGf8MtLNcO&#13;&#10;i56pbnni7Cnof6isFgEiqLQQYEtQSgtJGlDNavmXmvuOe0la0JzozzbF/0crfhzvAtMt9g7tcdxi&#13;&#10;jx7kkNhnGNh6eZ0N6n2sMO/e34VpFzHMagcVbP5HHWwgU09nUzOJwI8XFx83G+QWeLS+3qyuyPTy&#13;&#10;GexDTF8lWJaDugjYM7KSH7/HhAUxdU7JtSIY3e61MbQJh+aLCezIsb97+uUbI+SPNONysoMMG4/z&#13;&#10;lzILG6VQlE5G5jzjfkmFnpAiqiKmMuPg4GSjnnl8sBYBcqJC/ldiJ0hGS5rXV+LPIKoPLp3xVjsI&#13;&#10;5MYLdTlMQzNQyy/n7jbQnnAMzDeHo5WfyRyEOWimIFdx8OkpgdLUnEw4widDcVCpAdOjyi/h5Z6y&#13;&#10;np/+7jcAAAD//wMAUEsDBBQABgAIAAAAIQCHDIom4QAAAA0BAAAPAAAAZHJzL2Rvd25yZXYueG1s&#13;&#10;TI/NTsMwEITvSLyDtUjcWicRpFUap0JtUc8EEFc3XuKAf6LYaQ1Pz3KCy0ir0c7MV2+TNeyMUxi8&#13;&#10;E5AvM2DoOq8G1wt4eX5crIGFKJ2SxjsU8IUBts31VS0r5S/uCc9t7BmFuFBJATrGseI8dBqtDEs/&#13;&#10;oiPv3U9WRjqnnqtJXijcGl5kWcmtHBw1aDniTmP32c5WwDHfH8YP/t3Ko4k4v+rUmbckxO1N2m9I&#13;&#10;HjbAIqb49wG/DLQfGhp28rNTgRkBq/uSgKKAxQoY+euiLICdBNyVOfCm5v8pmh8AAAD//wMAUEsB&#13;&#10;Ai0AFAAGAAgAAAAhALaDOJL+AAAA4QEAABMAAAAAAAAAAAAAAAAAAAAAAFtDb250ZW50X1R5cGVz&#13;&#10;XS54bWxQSwECLQAUAAYACAAAACEAOP0h/9YAAACUAQAACwAAAAAAAAAAAAAAAAAvAQAAX3JlbHMv&#13;&#10;LnJlbHNQSwECLQAUAAYACAAAACEAieB7o+0BAABCBAAADgAAAAAAAAAAAAAAAAAuAgAAZHJzL2Uy&#13;&#10;b0RvYy54bWxQSwECLQAUAAYACAAAACEAhwyKJuEAAAANAQAADwAAAAAAAAAAAAAAAABHBAAAZHJz&#13;&#10;L2Rvd25yZXYueG1sUEsFBgAAAAAEAAQA8wAAAFUFAAAAAA==&#13;&#10;" stroked="f">
                <v:textbox inset="0,0,0,0">
                  <w:txbxContent>
                    <w:p w14:paraId="538249F4" w14:textId="77777777" w:rsidR="000A22B8" w:rsidRDefault="000A22B8" w:rsidP="00B30D84">
                      <w:pPr>
                        <w:pStyle w:val="FrameContents"/>
                      </w:pPr>
                      <w:r>
                        <w:rPr>
                          <w:rFonts w:ascii="Helvetica" w:hAnsi="Helvetica" w:cs="Arial"/>
                          <w:color w:val="auto"/>
                        </w:rPr>
                        <w:t>(B3.2)</w:t>
                      </w:r>
                    </w:p>
                  </w:txbxContent>
                </v:textbox>
              </v:rect>
            </w:pict>
          </mc:Fallback>
        </mc:AlternateContent>
      </w:r>
      <m:oMath>
        <m:sSub>
          <m:sSubPr>
            <m:ctrlPr>
              <w:rPr>
                <w:rFonts w:ascii="Cambria Math" w:hAnsi="Cambria Math"/>
                <w:sz w:val="24"/>
                <w:szCs w:val="24"/>
              </w:rPr>
            </m:ctrlPr>
          </m:sSubPr>
          <m:e>
            <m:r>
              <w:rPr>
                <w:rFonts w:ascii="Cambria Math" w:hAnsi="Cambria Math"/>
                <w:sz w:val="24"/>
                <w:szCs w:val="24"/>
              </w:rPr>
              <m:t>τ</m:t>
            </m:r>
          </m:e>
          <m:sub>
            <m:r>
              <w:rPr>
                <w:rFonts w:ascii="Cambria Math" w:hAnsi="Cambria Math"/>
                <w:sz w:val="24"/>
                <w:szCs w:val="24"/>
              </w:rPr>
              <m:t>Favg</m:t>
            </m:r>
          </m:sub>
        </m:sSub>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dω</m:t>
                </m:r>
              </m:e>
              <m:sub>
                <m:r>
                  <w:rPr>
                    <w:rFonts w:ascii="Cambria Math" w:hAnsi="Cambria Math"/>
                    <w:sz w:val="24"/>
                    <w:szCs w:val="24"/>
                  </w:rPr>
                  <m:t>E</m:t>
                </m:r>
              </m:sub>
            </m:sSub>
            <m:d>
              <m:dPr>
                <m:ctrlPr>
                  <w:rPr>
                    <w:rFonts w:ascii="Cambria Math" w:hAnsi="Cambria Math"/>
                    <w:i/>
                    <w:sz w:val="24"/>
                    <w:szCs w:val="24"/>
                  </w:rPr>
                </m:ctrlPr>
              </m:dPr>
              <m:e>
                <m:r>
                  <w:rPr>
                    <w:rFonts w:ascii="Cambria Math" w:hAnsi="Cambria Math"/>
                    <w:sz w:val="24"/>
                    <w:szCs w:val="24"/>
                  </w:rPr>
                  <m:t>e,t</m:t>
                </m:r>
              </m:e>
            </m:d>
          </m:num>
          <m:den>
            <m:r>
              <w:rPr>
                <w:rFonts w:ascii="Cambria Math" w:hAnsi="Cambria Math"/>
                <w:sz w:val="24"/>
                <w:szCs w:val="24"/>
              </w:rPr>
              <m:t>dt</m:t>
            </m:r>
          </m:den>
        </m:f>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E</m:t>
            </m:r>
          </m:sub>
        </m:sSub>
        <m:d>
          <m:dPr>
            <m:ctrlPr>
              <w:rPr>
                <w:rFonts w:ascii="Cambria Math" w:hAnsi="Cambria Math"/>
                <w:i/>
                <w:sz w:val="24"/>
                <w:szCs w:val="24"/>
              </w:rPr>
            </m:ctrlPr>
          </m:dPr>
          <m:e>
            <m:r>
              <w:rPr>
                <w:rFonts w:ascii="Cambria Math" w:hAnsi="Cambria Math"/>
                <w:sz w:val="24"/>
                <w:szCs w:val="24"/>
              </w:rPr>
              <m:t>e,t</m:t>
            </m:r>
          </m:e>
        </m:d>
        <m:r>
          <w:rPr>
            <w:rFonts w:ascii="Cambria Math" w:hAnsi="Cambria Math"/>
            <w:sz w:val="24"/>
            <w:szCs w:val="24"/>
          </w:rPr>
          <m:t>+ϕ(e,t)</m:t>
        </m:r>
      </m:oMath>
    </w:p>
    <w:p w14:paraId="46DBD757" w14:textId="77777777" w:rsidR="00E740D6" w:rsidRPr="007C17A6" w:rsidRDefault="00E740D6" w:rsidP="00E740D6">
      <w:pPr>
        <w:spacing w:before="120" w:after="120" w:line="240" w:lineRule="auto"/>
        <w:ind w:firstLine="288"/>
        <w:contextualSpacing/>
        <w:jc w:val="both"/>
        <w:rPr>
          <w:rFonts w:ascii="Times New Roman" w:hAnsi="Times New Roman" w:cs="Times New Roman"/>
          <w:sz w:val="24"/>
          <w:szCs w:val="24"/>
          <w:lang w:val="en-GB"/>
        </w:rPr>
      </w:pPr>
    </w:p>
    <w:p w14:paraId="68BFDBBB" w14:textId="563595E2" w:rsidR="00B30D84" w:rsidRPr="007C17A6" w:rsidRDefault="00B30D84" w:rsidP="0077421C">
      <w:pPr>
        <w:spacing w:before="120" w:after="120" w:line="240" w:lineRule="auto"/>
        <w:contextualSpacing/>
        <w:jc w:val="both"/>
        <w:rPr>
          <w:rFonts w:ascii="Times New Roman" w:hAnsi="Times New Roman" w:cs="Times New Roman"/>
          <w:sz w:val="24"/>
          <w:szCs w:val="24"/>
          <w:lang w:val="en-GB" w:eastAsia="en-GB"/>
        </w:rPr>
      </w:pPr>
      <w:r w:rsidRPr="007C17A6">
        <w:rPr>
          <w:rFonts w:ascii="Times New Roman" w:hAnsi="Times New Roman" w:cs="Times New Roman"/>
          <w:sz w:val="24"/>
          <w:szCs w:val="24"/>
          <w:lang w:val="en-GB"/>
        </w:rPr>
        <w:t xml:space="preserve">To regulate and control activity in the network, local and area-specific inhibition is implemented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"ISSN" : "0166-4328", "abstract" : "We show computer simulations of a neural network comprising two sensory cortical areas and a hippocampal area which demonstrates how the hippocampal input to the cortex can facilitate the formation of polymodal assemblies and the learning of contexts", "author" : [ { "dropping-particle" : "", "family" : "Bibbig", "given" : "A", "non-dropping-particle" : "", "parse-names" : false, "suffix" : "" }, { "dropping-particle" : "", "family" : "Wennekers", "given" : "T", "non-dropping-particle" : "", "parse-names" : false, "suffix" : "" }, { "dropping-particle" : "", "family" : "Palm", "given" : "G", "non-dropping-particle" : "", "parse-names" : false, "suffix" : "" } ], "container-title" : "Behavioural Brain Research", "id" : "ITEM-1", "issue" : "1", "issued" : { "date-parts" : [ [ "1995" ] ] }, "page" : "169-175", "publisher" : "Elsevier", "title" : "A neural network model of the cortico-hippocampal interplay and the representation of contexts", "type" : "article-journal", "volume" : "66" }, "uris" : [ "http://www.mendeley.com/documents/?uuid=a6063827-e60e-4bc8-ae5b-6b60a74213e2" ] }, { "id" : "ITEM-2", "itemData" : { "ISBN" : "3-540-11366-5", "author" : [ { "dropping-particle" : "", "family" : "Palm", "given" : "G", "non-dropping-particle" : "", "parse-names" : false, "suffix" : "" } ], "id" : "ITEM-2", "issued" : { "date-parts" : [ [ "1982" ] ] }, "publisher" : "Springer-Verlag New York, Inc.", "publisher-place" : "Secaucus, NJ, USA", "title" : "Neural Assemblies. An Alternative Approach to Artificial Intelligence", "type" : "book", "volume" : "7" }, "uris" : [ "http://www.mendeley.com/documents/?uuid=d67a5958-8709-4e07-8754-819284e806d0" ] }, { "id" : "ITEM-3", "itemData" : { "DOI" : "10.1016/j.jphysparis.2006.09.007", "ISBN" : "0928-4257 (Print)\\r0928-4257 (Linking)", "ISSN" : "09284257", "PMID" : "17081735", "abstract" : "This paper demonstrates how associative neural networks as standard models for Hebbian cell assemblies can be extended to implement language processes in large-scale brain simulations. To this end the classical auto- and hetero-associative paradigms of attractor nets and synfire chains (SFCs) are combined and complemented by conditioned associations as a third principle which allows for the implementation of complex graph-like transition structures between assemblies. We show example simulations of a multiple area network for object-naming, which categorises objects in a visual hierarchy and generates different specific syntactic motor sequences (\"words\") in response. The formation of cell assemblies due to ongoing plasticity in a multiple area network for word learning is studied afterwards. Simulations show how assemblies can form by means of percolating activity across auditory and motor-related language areas, a process supported by rhythmic, synchronized propagating waves through the network. Simulations further reproduce differences in own EEG&amp;MEG experiments between responses to word- versus non-word stimuli in human subjects. ?? 2006 Elsevier Ltd. All rights reserved.", "author" : [ { "dropping-particle" : "", "family" : "Wennekers", "given" : "Thomas", "non-dropping-particle" : "", "parse-names" : false, "suffix" : "" }, { "dropping-particle" : "", "family" : "Garagnani", "given" : "Max", "non-dropping-particle" : "", "parse-names" : false, "suffix" : "" }, { "dropping-particle" : "", "family" : "Pulverm\u00fcller", "given" : "Friedemann", "non-dropping-particle" : "", "parse-names" : false, "suffix" : "" } ], "container-title" : "Journal of Physiology Paris", "id" : "ITEM-3", "issue" : "1-3", "issued" : { "date-parts" : [ [ "2006" ] ] }, "page" : "16-30", "title" : "Language models based on Hebbian cell assemblies", "type" : "article-journal", "volume" : "100" }, "uris" : [ "http://www.mendeley.com/documents/?uuid=067c8bb9-aafc-48ff-87bb-7936f4ec079e" ] } ], "mendeley" : { "formattedCitation" : "(Bibbig et al., 1995; Palm, 1982; Wennekers et al., 2006)", "plainTextFormattedCitation" : "(Bibbig et al., 1995; Palm, 1982; Wennekers et al., 2006)", "previouslyFormattedCitation" : "(Bibbig et al., 1995; Palm, 1982; Wennekers et al., 2006)" }, "properties" : {  }, "schema" : "https://github.com/citation-style-language/schema/raw/master/csl-citation.json" }</w:instrText>
      </w:r>
      <w:r w:rsidRPr="007C17A6">
        <w:rPr>
          <w:rFonts w:ascii="Times New Roman" w:hAnsi="Times New Roman" w:cs="Times New Roman"/>
        </w:rPr>
        <w:fldChar w:fldCharType="separate"/>
      </w:r>
      <w:bookmarkStart w:id="60" w:name="__Fieldmark__933_582625014"/>
      <w:r w:rsidR="001C3C6B" w:rsidRPr="007C17A6">
        <w:rPr>
          <w:rFonts w:ascii="Times New Roman" w:hAnsi="Times New Roman" w:cs="Times New Roman"/>
          <w:noProof/>
          <w:sz w:val="24"/>
          <w:szCs w:val="24"/>
          <w:lang w:val="en-GB"/>
        </w:rPr>
        <w:t>(Bibbig et al., 1995; Palm, 1982; Wennekers et al., 2006)</w:t>
      </w:r>
      <w:r w:rsidRPr="007C17A6">
        <w:rPr>
          <w:rFonts w:ascii="Times New Roman" w:hAnsi="Times New Roman" w:cs="Times New Roman"/>
        </w:rPr>
        <w:fldChar w:fldCharType="end"/>
      </w:r>
      <w:bookmarkEnd w:id="60"/>
      <w:r w:rsidRPr="007C17A6">
        <w:rPr>
          <w:rFonts w:ascii="Times New Roman" w:hAnsi="Times New Roman" w:cs="Times New Roman"/>
          <w:sz w:val="24"/>
          <w:szCs w:val="24"/>
          <w:lang w:val="en-GB" w:eastAsia="en-GB"/>
        </w:rPr>
        <w:t xml:space="preserve">, </w:t>
      </w:r>
      <w:r w:rsidRPr="007C17A6">
        <w:rPr>
          <w:rFonts w:ascii="Times New Roman" w:hAnsi="Times New Roman" w:cs="Times New Roman"/>
          <w:noProof/>
          <w:sz w:val="24"/>
          <w:szCs w:val="24"/>
          <w:lang w:val="en-GB" w:eastAsia="en-GB"/>
        </w:rPr>
        <w:t>reali</w:t>
      </w:r>
      <w:r w:rsidR="0052370F" w:rsidRPr="007C17A6">
        <w:rPr>
          <w:rFonts w:ascii="Times New Roman" w:hAnsi="Times New Roman" w:cs="Times New Roman"/>
          <w:noProof/>
          <w:sz w:val="24"/>
          <w:szCs w:val="24"/>
          <w:lang w:val="en-GB" w:eastAsia="en-GB"/>
        </w:rPr>
        <w:t>z</w:t>
      </w:r>
      <w:r w:rsidRPr="007C17A6">
        <w:rPr>
          <w:rFonts w:ascii="Times New Roman" w:hAnsi="Times New Roman" w:cs="Times New Roman"/>
          <w:noProof/>
          <w:sz w:val="24"/>
          <w:szCs w:val="24"/>
          <w:lang w:val="en-GB" w:eastAsia="en-GB"/>
        </w:rPr>
        <w:t>ing</w:t>
      </w:r>
      <w:r w:rsidRPr="007C17A6">
        <w:rPr>
          <w:rFonts w:ascii="Times New Roman" w:hAnsi="Times New Roman" w:cs="Times New Roman"/>
          <w:sz w:val="24"/>
          <w:szCs w:val="24"/>
          <w:lang w:val="en-GB" w:eastAsia="en-GB"/>
        </w:rPr>
        <w:t xml:space="preserve">, respectively, local and global competition mechanisms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"10.1080/17470210500260674", "ISBN" : "1747-0218 (Print)\\n1747-0218 (Linking)", "ISSN" : "1747-0218", "PMID" : "16556554", "abstract" : "There are many varieties of \"attention\", to some extent separate yet working together to produce coherent perception, thought, and behaviour. Using data from human behaviour, functional neuroimaging, and single-cell recording in the behaving monkey, I consider different levels of attention and their basis in physiological mechanisms of biased competition. Beginning with visual attention, I suggest that processing is competitive in many brain systems that code visual input. Competition is biased towards stimuli that match task requirements and is integrated between systems coding different object properties. The result is flexible, object-based attentional selection. In the second part of the paper, I describe recent experiments on attentional competition within and between sensory modalities. Though competition is often modality specific, more global levels of interference are also easy to demonstrate. In the third part of the paper, I move to frontoparietal cortex and to a pattern of similar brain regions recruited by many different cognitive demands. This multiple-demand (MD) pattern, I suggest, reflects neurons with highly flexible response properties, adapting to represent the information and events of many different tasks. Biased competition in MD regions may play a central role in broad attentional capacity limits and attentional focusing. More generally, I suggest that biased competition is characteristic of many different cognitive domains and brain systems. Coherent \"attention\" develops as different systems converge to work on related cognitive content.", "author" : [ { "dropping-particle" : "", "family" : "Duncan", "given" : "John", "non-dropping-particle" : "", "parse-names" : false, "suffix" : "" } ], "container-title" : "Quarterly journal of experimental psychology (2006)", "id" : "ITEM-1", "issue" : "1", "issued" : { "date-parts" : [ [ "2006" ] ] }, "language" : "English", "note" : "035VB\nTimes Cited:11\nCited References Count:145", "page" : "2-27", "title" : "EPS Mid-Career Award 2004: brain mechanisms of attention.", "type" : "article-journal", "volume" : "59" }, "uris" : [ "http://www.mendeley.com/documents/?uuid=e68bac22-6959-4937-8906-456502584447" ] }, { "id" : "ITEM-2", "itemData" : { "ISBN" : "0020-7594", "author" : [ { "dropping-particle" : "", "family" : "Duncan", "given" : "J", "non-dropping-particle" : "", "parse-names" : false, "suffix" : "" } ], "container-title" : "International Journal of Psychology", "id" : "ITEM-2", "issue" : "3-4", "issued" : { "date-parts" : [ [ "1996" ] ] }, "language" : "English", "note" : "Ve857\nTimes Cited:0\nCited References Count:0", "page" : "3343", "title" : "Competitive brain systems in selective attention", "type" : "article-journal", "volume" : "31" }, "uris" : [ "http://www.mendeley.com/documents/?uuid=2a604e28-fe04-4656-8ee3-3c13d7e17633" ] } ], "mendeley" : { "formattedCitation" : "(Duncan, 2006, 1996)", "plainTextFormattedCitation" : "(Duncan, 2006, 1996)", "previouslyFormattedCitation" : "(Duncan, 2006, 1996)" }, "properties" : {  }, "schema" : "https://github.com/citation-style-language/schema/raw/master/csl-citation.json" }</w:instrText>
      </w:r>
      <w:r w:rsidRPr="007C17A6">
        <w:rPr>
          <w:rFonts w:ascii="Times New Roman" w:hAnsi="Times New Roman" w:cs="Times New Roman"/>
        </w:rPr>
        <w:fldChar w:fldCharType="separate"/>
      </w:r>
      <w:bookmarkStart w:id="61" w:name="__Fieldmark__940_582625014"/>
      <w:r w:rsidR="001C3C6B" w:rsidRPr="007C17A6">
        <w:rPr>
          <w:rFonts w:ascii="Times New Roman" w:hAnsi="Times New Roman" w:cs="Times New Roman"/>
          <w:noProof/>
          <w:sz w:val="24"/>
          <w:szCs w:val="24"/>
          <w:lang w:val="en-GB" w:eastAsia="en-GB"/>
        </w:rPr>
        <w:t>(Duncan, 2006, 1996)</w:t>
      </w:r>
      <w:r w:rsidRPr="007C17A6">
        <w:rPr>
          <w:rFonts w:ascii="Times New Roman" w:hAnsi="Times New Roman" w:cs="Times New Roman"/>
        </w:rPr>
        <w:fldChar w:fldCharType="end"/>
      </w:r>
      <w:bookmarkEnd w:id="61"/>
      <w:r w:rsidRPr="007C17A6">
        <w:rPr>
          <w:rFonts w:ascii="Times New Roman" w:hAnsi="Times New Roman" w:cs="Times New Roman"/>
          <w:sz w:val="24"/>
          <w:szCs w:val="24"/>
          <w:lang w:val="en-GB" w:eastAsia="en-GB"/>
        </w:rPr>
        <w:t xml:space="preserve">. More precisely, in Eq. (B1) </w:t>
      </w:r>
      <w:r w:rsidRPr="007C17A6">
        <w:rPr>
          <w:rFonts w:ascii="Times New Roman" w:hAnsi="Times New Roman" w:cs="Times New Roman"/>
          <w:noProof/>
          <w:sz w:val="24"/>
          <w:szCs w:val="24"/>
          <w:lang w:val="en-GB" w:eastAsia="en-GB"/>
        </w:rPr>
        <w:t xml:space="preserve">the input </w:t>
      </w:r>
      <w:r w:rsidRPr="007C17A6">
        <w:rPr>
          <w:rFonts w:ascii="Times New Roman" w:hAnsi="Times New Roman" w:cs="Times New Roman"/>
          <w:i/>
          <w:noProof/>
          <w:sz w:val="24"/>
          <w:szCs w:val="24"/>
          <w:lang w:val="en-GB" w:eastAsia="en-GB"/>
        </w:rPr>
        <w:t>V</w:t>
      </w:r>
      <w:r w:rsidRPr="007C17A6">
        <w:rPr>
          <w:rFonts w:ascii="Times New Roman" w:hAnsi="Times New Roman" w:cs="Times New Roman"/>
          <w:i/>
          <w:noProof/>
          <w:sz w:val="24"/>
          <w:szCs w:val="24"/>
          <w:vertAlign w:val="subscript"/>
          <w:lang w:val="en-GB" w:eastAsia="en-GB"/>
        </w:rPr>
        <w:t>In</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e,t</w:t>
      </w:r>
      <w:r w:rsidRPr="007C17A6">
        <w:rPr>
          <w:rFonts w:ascii="Times New Roman" w:hAnsi="Times New Roman" w:cs="Times New Roman"/>
          <w:noProof/>
          <w:sz w:val="24"/>
          <w:szCs w:val="24"/>
          <w:lang w:val="en-GB" w:eastAsia="en-GB"/>
        </w:rPr>
        <w:t>) to each excitatory cell of the same area includes an area-specific (“global”) inhibition term</w:t>
      </w:r>
      <w:r w:rsidRPr="007C17A6">
        <w:rPr>
          <w:noProof/>
          <w:sz w:val="24"/>
          <w:szCs w:val="24"/>
          <w:lang w:val="en-GB" w:eastAsia="en-GB"/>
        </w:rPr>
        <w:t xml:space="preserve"> </w:t>
      </w:r>
      <w:r w:rsidRPr="007C17A6">
        <w:rPr>
          <w:i/>
          <w:noProof/>
          <w:sz w:val="24"/>
          <w:szCs w:val="24"/>
          <w:lang w:val="en-GB" w:eastAsia="en-GB"/>
        </w:rPr>
        <w:t>k</w:t>
      </w:r>
      <w:r w:rsidRPr="007C17A6">
        <w:rPr>
          <w:i/>
          <w:noProof/>
          <w:sz w:val="24"/>
          <w:szCs w:val="24"/>
          <w:vertAlign w:val="subscript"/>
          <w:lang w:val="en-GB" w:eastAsia="en-GB"/>
        </w:rPr>
        <w:t>G</w:t>
      </w:r>
      <w:r w:rsidRPr="007C17A6">
        <w:rPr>
          <w:rFonts w:ascii="Symbol" w:eastAsia="Symbol" w:hAnsi="Symbol" w:cs="Symbol"/>
          <w:i/>
          <w:noProof/>
          <w:sz w:val="24"/>
          <w:szCs w:val="24"/>
          <w:lang w:val="en-GB" w:eastAsia="en-GB"/>
        </w:rPr>
        <w:t></w:t>
      </w:r>
      <w:r w:rsidRPr="007C17A6">
        <w:rPr>
          <w:i/>
          <w:noProof/>
          <w:sz w:val="24"/>
          <w:szCs w:val="24"/>
          <w:vertAlign w:val="subscript"/>
          <w:lang w:val="en-GB" w:eastAsia="en-GB"/>
        </w:rPr>
        <w:t>G</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e</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t</w:t>
      </w:r>
      <w:r w:rsidRPr="007C17A6">
        <w:rPr>
          <w:rFonts w:ascii="Times New Roman" w:hAnsi="Times New Roman" w:cs="Times New Roman"/>
          <w:noProof/>
          <w:sz w:val="24"/>
          <w:szCs w:val="24"/>
          <w:lang w:val="en-GB" w:eastAsia="en-GB"/>
        </w:rPr>
        <w:t>)</w:t>
      </w:r>
      <w:r w:rsidRPr="007C17A6">
        <w:rPr>
          <w:noProof/>
          <w:sz w:val="24"/>
          <w:szCs w:val="24"/>
          <w:lang w:val="en-GB" w:eastAsia="en-GB"/>
        </w:rPr>
        <w:t xml:space="preserve"> </w:t>
      </w:r>
      <w:r w:rsidRPr="007C17A6">
        <w:rPr>
          <w:rFonts w:ascii="Times New Roman" w:hAnsi="Times New Roman" w:cs="Times New Roman"/>
          <w:noProof/>
          <w:sz w:val="24"/>
          <w:szCs w:val="24"/>
          <w:lang w:val="en-GB" w:eastAsia="en-GB"/>
        </w:rPr>
        <w:t xml:space="preserve">(with </w:t>
      </w:r>
      <w:r w:rsidRPr="007C17A6">
        <w:rPr>
          <w:rFonts w:ascii="Times New Roman" w:hAnsi="Times New Roman" w:cs="Times New Roman"/>
          <w:i/>
          <w:noProof/>
          <w:sz w:val="24"/>
          <w:szCs w:val="24"/>
          <w:lang w:val="en-GB" w:eastAsia="en-GB"/>
        </w:rPr>
        <w:t>k</w:t>
      </w:r>
      <w:r w:rsidRPr="007C17A6">
        <w:rPr>
          <w:rFonts w:ascii="Times New Roman" w:hAnsi="Times New Roman" w:cs="Times New Roman"/>
          <w:i/>
          <w:noProof/>
          <w:sz w:val="24"/>
          <w:szCs w:val="24"/>
          <w:vertAlign w:val="subscript"/>
          <w:lang w:val="en-GB" w:eastAsia="en-GB"/>
        </w:rPr>
        <w:t>G</w:t>
      </w:r>
      <w:r w:rsidRPr="007C17A6">
        <w:rPr>
          <w:rFonts w:ascii="Times New Roman" w:hAnsi="Times New Roman" w:cs="Times New Roman"/>
          <w:noProof/>
          <w:sz w:val="24"/>
          <w:szCs w:val="24"/>
          <w:lang w:val="en-GB" w:eastAsia="en-GB"/>
        </w:rPr>
        <w:t xml:space="preserve"> a constant and</w:t>
      </w:r>
      <w:r w:rsidRPr="007C17A6">
        <w:rPr>
          <w:noProof/>
          <w:sz w:val="24"/>
          <w:szCs w:val="24"/>
          <w:lang w:val="en-GB" w:eastAsia="en-GB"/>
        </w:rPr>
        <w:t xml:space="preserve"> </w:t>
      </w:r>
      <w:r w:rsidRPr="007C17A6">
        <w:rPr>
          <w:rFonts w:ascii="Symbol" w:eastAsia="Symbol" w:hAnsi="Symbol" w:cs="Symbol"/>
          <w:i/>
          <w:noProof/>
          <w:sz w:val="24"/>
          <w:szCs w:val="24"/>
          <w:lang w:val="en-GB" w:eastAsia="en-GB"/>
        </w:rPr>
        <w:t></w:t>
      </w:r>
      <w:r w:rsidRPr="007C17A6">
        <w:rPr>
          <w:i/>
          <w:noProof/>
          <w:sz w:val="24"/>
          <w:szCs w:val="24"/>
          <w:vertAlign w:val="subscript"/>
          <w:lang w:val="en-GB" w:eastAsia="en-GB"/>
        </w:rPr>
        <w:t>G</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e</w:t>
      </w:r>
      <w:r w:rsidRPr="007C17A6">
        <w:rPr>
          <w:rFonts w:ascii="Times New Roman" w:hAnsi="Times New Roman" w:cs="Times New Roman"/>
          <w:noProof/>
          <w:sz w:val="24"/>
          <w:szCs w:val="24"/>
          <w:lang w:val="en-GB" w:eastAsia="en-GB"/>
        </w:rPr>
        <w:t>,</w:t>
      </w:r>
      <w:r w:rsidRPr="007C17A6">
        <w:rPr>
          <w:rFonts w:ascii="Times New Roman" w:hAnsi="Times New Roman" w:cs="Times New Roman"/>
          <w:i/>
          <w:noProof/>
          <w:sz w:val="24"/>
          <w:szCs w:val="24"/>
          <w:lang w:val="en-GB" w:eastAsia="en-GB"/>
        </w:rPr>
        <w:t>t</w:t>
      </w:r>
      <w:r w:rsidRPr="007C17A6">
        <w:rPr>
          <w:rFonts w:ascii="Times New Roman" w:hAnsi="Times New Roman" w:cs="Times New Roman"/>
          <w:noProof/>
          <w:sz w:val="24"/>
          <w:szCs w:val="24"/>
          <w:lang w:val="en-GB" w:eastAsia="en-GB"/>
        </w:rPr>
        <w:t>)</w:t>
      </w:r>
      <w:r w:rsidRPr="007C17A6">
        <w:rPr>
          <w:noProof/>
          <w:sz w:val="24"/>
          <w:szCs w:val="24"/>
          <w:lang w:val="en-GB" w:eastAsia="en-GB"/>
        </w:rPr>
        <w:t xml:space="preserve"> </w:t>
      </w:r>
      <w:r w:rsidRPr="007C17A6">
        <w:rPr>
          <w:rFonts w:ascii="Times New Roman" w:hAnsi="Times New Roman" w:cs="Times New Roman"/>
          <w:noProof/>
          <w:sz w:val="24"/>
          <w:szCs w:val="24"/>
          <w:lang w:val="en-GB" w:eastAsia="en-GB"/>
        </w:rPr>
        <w:t xml:space="preserve">defined below) subtracted from the total I/EPSPs postsynaptic potentials </w:t>
      </w:r>
      <w:r w:rsidRPr="007C17A6">
        <w:rPr>
          <w:rFonts w:ascii="Times New Roman" w:hAnsi="Times New Roman" w:cs="Times New Roman"/>
          <w:i/>
          <w:noProof/>
          <w:sz w:val="24"/>
          <w:szCs w:val="24"/>
          <w:lang w:val="en-GB" w:eastAsia="en-GB"/>
        </w:rPr>
        <w:t>V</w:t>
      </w:r>
      <w:r w:rsidRPr="007C17A6">
        <w:rPr>
          <w:rFonts w:ascii="Times New Roman" w:hAnsi="Times New Roman" w:cs="Times New Roman"/>
          <w:i/>
          <w:noProof/>
          <w:sz w:val="24"/>
          <w:szCs w:val="24"/>
          <w:vertAlign w:val="subscript"/>
          <w:lang w:val="en-GB" w:eastAsia="en-GB"/>
        </w:rPr>
        <w:t>In</w:t>
      </w:r>
      <w:r w:rsidRPr="007C17A6">
        <w:rPr>
          <w:rFonts w:ascii="Times New Roman" w:hAnsi="Times New Roman" w:cs="Times New Roman"/>
          <w:noProof/>
          <w:sz w:val="24"/>
          <w:szCs w:val="24"/>
          <w:lang w:val="en-GB" w:eastAsia="en-GB"/>
        </w:rPr>
        <w:t xml:space="preserve"> in input to the cell; this regulatory mechanism ensures that area (and network) activity is maintained within physiological levels </w:t>
      </w:r>
      <w:r w:rsidRPr="007C17A6">
        <w:rPr>
          <w:rFonts w:ascii="Times New Roman" w:hAnsi="Times New Roman" w:cs="Times New Roman"/>
          <w:noProof/>
        </w:rPr>
        <w:fldChar w:fldCharType="begin" w:fldLock="1"/>
      </w:r>
      <w:r w:rsidR="007F4106" w:rsidRPr="007C17A6">
        <w:rPr>
          <w:rFonts w:ascii="Times New Roman" w:hAnsi="Times New Roman" w:cs="Times New Roman"/>
          <w:noProof/>
        </w:rPr>
        <w:instrText>ADDIN CSL_CITATION { "citationItems" : [ { "id" : "ITEM-1", "itemData" : { "ISBN" : "3662037351", "author" : [ { "dropping-particle" : "", "family" : "Braitenberg", "given" : "V.", "non-dropping-particle" : "", "parse-names" : false, "suffix" : "" }, { "dropping-particle" : "", "family" : "Sch\u00fcz", "given" : "A.", "non-dropping-particle" : "", "parse-names" : false, "suffix" : "" } ], "id" : "ITEM-1", "issued" : { "date-parts" : [ [ "1998" ] ] }, "page" : "135-137", "publisher" : "Springer", "publisher-place" : "Berlin", "title" : "Cortex: statistics and geometry of neuronal connectivity", "type" : "chapter" }, "uris" : [ "http://www.mendeley.com/documents/?uuid=8a1c3f87-34cc-4109-9f32-63199c749a30" ] } ], "mendeley" : { "formattedCitation" : "(Braitenberg and Sch\u00fcz, 1998)", "plainTextFormattedCitation" : "(Braitenberg and Sch\u00fcz, 1998)", "previouslyFormattedCitation" : "(Braitenberg and Sch\u00fcz, 1998)" }, "properties" : {  }, "schema" : "https://github.com/citation-style-language/schema/raw/master/csl-citation.json" }</w:instrText>
      </w:r>
      <w:r w:rsidRPr="007C17A6">
        <w:rPr>
          <w:rFonts w:ascii="Times New Roman" w:hAnsi="Times New Roman" w:cs="Times New Roman"/>
          <w:noProof/>
        </w:rPr>
        <w:fldChar w:fldCharType="separate"/>
      </w:r>
      <w:bookmarkStart w:id="62" w:name="__Fieldmark__1001_582625014"/>
      <w:r w:rsidR="001C3C6B" w:rsidRPr="007C17A6">
        <w:rPr>
          <w:rFonts w:ascii="Times New Roman" w:hAnsi="Times New Roman" w:cs="Times New Roman"/>
          <w:noProof/>
          <w:sz w:val="24"/>
          <w:szCs w:val="24"/>
          <w:lang w:val="en-GB" w:eastAsia="en-GB"/>
        </w:rPr>
        <w:t>(Braitenberg and Schüz, 1998)</w:t>
      </w:r>
      <w:r w:rsidRPr="007C17A6">
        <w:rPr>
          <w:rFonts w:ascii="Times New Roman" w:hAnsi="Times New Roman" w:cs="Times New Roman"/>
          <w:noProof/>
        </w:rPr>
        <w:fldChar w:fldCharType="end"/>
      </w:r>
      <w:bookmarkEnd w:id="62"/>
      <w:r w:rsidRPr="007C17A6">
        <w:rPr>
          <w:rFonts w:ascii="Times New Roman" w:hAnsi="Times New Roman" w:cs="Times New Roman"/>
          <w:noProof/>
          <w:sz w:val="24"/>
          <w:szCs w:val="24"/>
          <w:lang w:val="en-GB" w:eastAsia="en-GB"/>
        </w:rPr>
        <w:t>:</w:t>
      </w:r>
    </w:p>
    <w:p w14:paraId="41419DDF" w14:textId="77777777" w:rsidR="00E740D6" w:rsidRPr="007C17A6" w:rsidRDefault="00E740D6" w:rsidP="00E740D6">
      <w:pPr>
        <w:spacing w:before="120" w:after="120" w:line="240" w:lineRule="auto"/>
        <w:ind w:firstLine="288"/>
        <w:contextualSpacing/>
        <w:jc w:val="both"/>
        <w:rPr>
          <w:rFonts w:ascii="Times New Roman" w:hAnsi="Times New Roman" w:cs="Times New Roman"/>
        </w:rPr>
      </w:pPr>
    </w:p>
    <w:p w14:paraId="235D7D29" w14:textId="77777777" w:rsidR="00B30D84" w:rsidRPr="007C17A6" w:rsidRDefault="00B30D84" w:rsidP="00E740D6">
      <w:pPr>
        <w:spacing w:before="120" w:after="120" w:line="240" w:lineRule="auto"/>
        <w:ind w:firstLine="288"/>
        <w:contextualSpacing/>
        <w:jc w:val="center"/>
        <w:rPr>
          <w:sz w:val="24"/>
          <w:szCs w:val="24"/>
          <w:lang w:val="en-GB" w:eastAsia="en-GB"/>
        </w:rPr>
      </w:pPr>
      <w:r w:rsidRPr="007C17A6">
        <w:rPr>
          <w:noProof/>
          <w:sz w:val="24"/>
          <w:szCs w:val="24"/>
        </w:rPr>
        <mc:AlternateContent>
          <mc:Choice Requires="wps">
            <w:drawing>
              <wp:anchor distT="0" distB="0" distL="114300" distR="114300" simplePos="0" relativeHeight="251664384" behindDoc="0" locked="0" layoutInCell="1" allowOverlap="1" wp14:anchorId="14CF693B" wp14:editId="7404C5B6">
                <wp:simplePos x="0" y="0"/>
                <wp:positionH relativeFrom="column">
                  <wp:posOffset>4914900</wp:posOffset>
                </wp:positionH>
                <wp:positionV relativeFrom="paragraph">
                  <wp:posOffset>-12065</wp:posOffset>
                </wp:positionV>
                <wp:extent cx="445770" cy="191135"/>
                <wp:effectExtent l="0" t="0" r="11430" b="12065"/>
                <wp:wrapNone/>
                <wp:docPr id="24" name="Text Box 209"/>
                <wp:cNvGraphicFramePr/>
                <a:graphic xmlns:a="http://schemas.openxmlformats.org/drawingml/2006/main">
                  <a:graphicData uri="http://schemas.microsoft.com/office/word/2010/wordprocessingShape">
                    <wps:wsp>
                      <wps:cNvSpPr/>
                      <wps:spPr>
                        <a:xfrm>
                          <a:off x="0" y="0"/>
                          <a:ext cx="445770" cy="19113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85BF82C" w14:textId="77777777" w:rsidR="000A22B8" w:rsidRDefault="000A22B8" w:rsidP="00B30D84">
                            <w:pPr>
                              <w:pStyle w:val="FrameContents"/>
                            </w:pPr>
                            <w:r>
                              <w:rPr>
                                <w:rFonts w:ascii="Helvetica" w:hAnsi="Helvetica" w:cs="Arial"/>
                                <w:color w:val="auto"/>
                              </w:rPr>
                              <w:t>(B3.3)</w:t>
                            </w:r>
                          </w:p>
                        </w:txbxContent>
                      </wps:txbx>
                      <wps:bodyPr lIns="0" tIns="0" rIns="0" bIns="0">
                        <a:noAutofit/>
                      </wps:bodyPr>
                    </wps:wsp>
                  </a:graphicData>
                </a:graphic>
              </wp:anchor>
            </w:drawing>
          </mc:Choice>
          <mc:Fallback>
            <w:pict>
              <v:rect w14:anchorId="14CF693B" id="_x0000_s1035" style="position:absolute;left:0;text-align:left;margin-left:387pt;margin-top:-.95pt;width:35.1pt;height:15.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vHO6wEAAEIEAAAOAAAAZHJzL2Uyb0RvYy54bWysU8FuEzEQvSPxD5bvZJOQErrKpgKqICQE&#13;&#10;FS0f4PXaiSXbY9lusvl7ZpzNprSnInJwxva8N/vejFc3vbNsr2Iy4Bs+m0w5U15CZ/y24b8fNu8+&#13;&#10;cpay8J2w4FXDjyrxm/XbN6tDqNUcdmA7FRmS+FQfQsN3OYe6qpLcKSfSBILyeKkhOpFxG7dVF8UB&#13;&#10;2Z2t5tPph+oAsQsRpEoJT29Pl3xd+LVWMv/UOqnMbMPx23JZY1lbWqv1StTbKMLOyOEzxD98hRPG&#13;&#10;Y9GR6lZkwR6jeUHljIyQQOeJBFeB1kaqogHVzKbP1NzvRFBFC5qTwmhT+n+08sf+LjLTNXy+4MwL&#13;&#10;hz16UH1mn6Fn8+k1GXQIqca8+3AXh13CkNT2Ojr6Rx2sL6YeR1OJROLhYnG1XKL1Eq9m17PZ+yvi&#13;&#10;rC7gEFP+qsAxChoesWfFSrH/nvIp9ZxCtRJY022MtWUTt+0XG9leYH835Tew/5VmPSV7INiJkU4q&#13;&#10;EnaSUqJ8tIryrP+lNHpSFJUqcihzGhycbNRzHh9UUgCUqJH/ldgBQmhV5vWV+BFU6oPPI94ZD7G4&#13;&#10;8UQdhblv+9LyJd3SSQvdEcfAfvM4WvRMzkE8B+0QUBUPnx4zaFOac4EPhuKglvYOj4pewtN9ybo8&#13;&#10;/fUfAAAA//8DAFBLAwQUAAYACAAAACEABxt5Y+IAAAAOAQAADwAAAGRycy9kb3ducmV2LnhtbEyP&#13;&#10;zU7DMBCE70i8g7VI3FonUURDGqdCFNQzAcTVjZc44J8odlrD07Oc4LLSaHdn5mt2yRp2wjmM3gnI&#13;&#10;1xkwdL1XoxsEvDw/ripgIUqnpPEOBXxhgF17edHIWvmze8JTFwdGJi7UUoCOcao5D71GK8PaT+ho&#13;&#10;9+5nKyPJeeBqlmcyt4YXWXbDrRwdJWg54b3G/rNbrIBDvn+YPvh3Jw8m4vKqU2/ekhDXV2m/pXG3&#13;&#10;BRYxxb8P+GWg/tBSsaNfnArMCNhsSgKKAlb5LTA6qMqyAHYUUFQF8Lbh/zHaHwAAAP//AwBQSwEC&#13;&#10;LQAUAAYACAAAACEAtoM4kv4AAADhAQAAEwAAAAAAAAAAAAAAAAAAAAAAW0NvbnRlbnRfVHlwZXNd&#13;&#10;LnhtbFBLAQItABQABgAIAAAAIQA4/SH/1gAAAJQBAAALAAAAAAAAAAAAAAAAAC8BAABfcmVscy8u&#13;&#10;cmVsc1BLAQItABQABgAIAAAAIQC0mvHO6wEAAEIEAAAOAAAAAAAAAAAAAAAAAC4CAABkcnMvZTJv&#13;&#10;RG9jLnhtbFBLAQItABQABgAIAAAAIQAHG3lj4gAAAA4BAAAPAAAAAAAAAAAAAAAAAEUEAABkcnMv&#13;&#10;ZG93bnJldi54bWxQSwUGAAAAAAQABADzAAAAVAUAAAAA&#13;&#10;" stroked="f">
                <v:textbox inset="0,0,0,0">
                  <w:txbxContent>
                    <w:p w14:paraId="485BF82C" w14:textId="77777777" w:rsidR="000A22B8" w:rsidRDefault="000A22B8" w:rsidP="00B30D84">
                      <w:pPr>
                        <w:pStyle w:val="FrameContents"/>
                      </w:pPr>
                      <w:r>
                        <w:rPr>
                          <w:rFonts w:ascii="Helvetica" w:hAnsi="Helvetica" w:cs="Arial"/>
                          <w:color w:val="auto"/>
                        </w:rPr>
                        <w:t>(B3.3)</w:t>
                      </w:r>
                    </w:p>
                  </w:txbxContent>
                </v:textbox>
              </v:rect>
            </w:pict>
          </mc:Fallback>
        </mc:AlternateContent>
      </w:r>
      <m:oMath>
        <m:sSub>
          <m:sSubPr>
            <m:ctrlPr>
              <w:rPr>
                <w:rFonts w:ascii="Cambria Math" w:hAnsi="Cambria Math"/>
                <w:sz w:val="24"/>
                <w:szCs w:val="24"/>
              </w:rPr>
            </m:ctrlPr>
          </m:sSubPr>
          <m:e>
            <m:r>
              <w:rPr>
                <w:rFonts w:ascii="Cambria Math" w:hAnsi="Cambria Math"/>
                <w:sz w:val="24"/>
                <w:szCs w:val="24"/>
              </w:rPr>
              <m:t>τ</m:t>
            </m:r>
          </m:e>
          <m:sub>
            <m:r>
              <w:rPr>
                <w:rFonts w:ascii="Cambria Math" w:hAnsi="Cambria Math"/>
                <w:sz w:val="24"/>
                <w:szCs w:val="24"/>
              </w:rPr>
              <m:t>GLOB</m:t>
            </m:r>
          </m:sub>
        </m:sSub>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dω</m:t>
                </m:r>
              </m:e>
              <m:sub>
                <m:r>
                  <w:rPr>
                    <w:rFonts w:ascii="Cambria Math" w:hAnsi="Cambria Math"/>
                    <w:sz w:val="24"/>
                    <w:szCs w:val="24"/>
                  </w:rPr>
                  <m:t>G</m:t>
                </m:r>
              </m:sub>
            </m:sSub>
            <m:r>
              <w:rPr>
                <w:rFonts w:ascii="Cambria Math" w:hAnsi="Cambria Math"/>
                <w:sz w:val="24"/>
                <w:szCs w:val="24"/>
              </w:rPr>
              <m:t>(e,t)</m:t>
            </m:r>
          </m:num>
          <m:den>
            <m:r>
              <w:rPr>
                <w:rFonts w:ascii="Cambria Math" w:hAnsi="Cambria Math"/>
                <w:sz w:val="24"/>
                <w:szCs w:val="24"/>
              </w:rPr>
              <m:t>dt</m:t>
            </m:r>
          </m:den>
        </m:f>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G</m:t>
            </m:r>
          </m:sub>
        </m:sSub>
        <m:r>
          <w:rPr>
            <w:rFonts w:ascii="Cambria Math" w:hAnsi="Cambria Math"/>
            <w:sz w:val="24"/>
            <w:szCs w:val="24"/>
          </w:rPr>
          <m:t>(e,t)+</m:t>
        </m:r>
        <m:nary>
          <m:naryPr>
            <m:chr m:val="∑"/>
            <m:supHide m:val="1"/>
            <m:ctrlPr>
              <w:rPr>
                <w:rFonts w:ascii="Cambria Math" w:hAnsi="Cambria Math"/>
                <w:sz w:val="24"/>
                <w:szCs w:val="24"/>
              </w:rPr>
            </m:ctrlPr>
          </m:naryPr>
          <m:sub>
            <m:r>
              <w:rPr>
                <w:rFonts w:ascii="Cambria Math" w:hAnsi="Cambria Math"/>
                <w:sz w:val="24"/>
                <w:szCs w:val="24"/>
              </w:rPr>
              <m:t>e∈area</m:t>
            </m:r>
          </m:sub>
          <m:sup/>
          <m:e>
            <m:r>
              <w:rPr>
                <w:rFonts w:ascii="Cambria Math" w:hAnsi="Cambria Math"/>
                <w:sz w:val="24"/>
                <w:szCs w:val="24"/>
              </w:rPr>
              <m:t>φ(e,t)</m:t>
            </m:r>
          </m:e>
        </m:nary>
      </m:oMath>
    </w:p>
    <w:p w14:paraId="0C2BAD2D" w14:textId="77777777" w:rsidR="00E740D6" w:rsidRPr="007C17A6" w:rsidRDefault="00E740D6" w:rsidP="00E740D6">
      <w:pPr>
        <w:spacing w:before="120" w:after="120" w:line="240" w:lineRule="auto"/>
        <w:ind w:firstLine="288"/>
        <w:contextualSpacing/>
        <w:jc w:val="both"/>
        <w:rPr>
          <w:rFonts w:ascii="Times New Roman" w:hAnsi="Times New Roman" w:cs="Times New Roman"/>
          <w:sz w:val="24"/>
          <w:szCs w:val="24"/>
          <w:lang w:val="en-GB" w:eastAsia="en-GB"/>
        </w:rPr>
      </w:pPr>
    </w:p>
    <w:p w14:paraId="54975AC5" w14:textId="2021DA90" w:rsidR="00B30D84" w:rsidRPr="007C17A6" w:rsidRDefault="00B30D84" w:rsidP="0077421C">
      <w:pPr>
        <w:spacing w:before="120" w:after="120" w:line="240" w:lineRule="auto"/>
        <w:contextualSpacing/>
        <w:jc w:val="both"/>
        <w:rPr>
          <w:rFonts w:ascii="Times New Roman" w:hAnsi="Times New Roman" w:cs="Times New Roman"/>
          <w:sz w:val="24"/>
          <w:szCs w:val="24"/>
          <w:lang w:eastAsia="en-GB"/>
        </w:rPr>
      </w:pPr>
      <w:r w:rsidRPr="007C17A6">
        <w:rPr>
          <w:rFonts w:ascii="Times New Roman" w:hAnsi="Times New Roman" w:cs="Times New Roman"/>
          <w:noProof/>
          <w:sz w:val="24"/>
          <w:szCs w:val="24"/>
          <w:lang w:val="en-GB" w:eastAsia="en-GB"/>
        </w:rPr>
        <w:t>Excitatory links within and between (possibly non-adjacent) model areas are established at random and limited to a local (topographic) neighborhood; weights are initiali</w:t>
      </w:r>
      <w:r w:rsidR="0052370F" w:rsidRPr="007C17A6">
        <w:rPr>
          <w:rFonts w:ascii="Times New Roman" w:hAnsi="Times New Roman" w:cs="Times New Roman"/>
          <w:noProof/>
          <w:sz w:val="24"/>
          <w:szCs w:val="24"/>
          <w:lang w:val="en-GB" w:eastAsia="en-GB"/>
        </w:rPr>
        <w:t>z</w:t>
      </w:r>
      <w:r w:rsidRPr="007C17A6">
        <w:rPr>
          <w:rFonts w:ascii="Times New Roman" w:hAnsi="Times New Roman" w:cs="Times New Roman"/>
          <w:noProof/>
          <w:sz w:val="24"/>
          <w:szCs w:val="24"/>
          <w:lang w:val="en-GB" w:eastAsia="en-GB"/>
        </w:rPr>
        <w:t>ed at random, in the range</w:t>
      </w:r>
      <w:r w:rsidRPr="007C17A6">
        <w:rPr>
          <w:rFonts w:ascii="Times New Roman" w:hAnsi="Times New Roman" w:cs="Times New Roman"/>
          <w:sz w:val="24"/>
          <w:szCs w:val="24"/>
          <w:lang w:val="en-GB" w:eastAsia="en-GB"/>
        </w:rPr>
        <w:t xml:space="preserve"> [</w:t>
      </w:r>
      <w:r w:rsidRPr="007C17A6">
        <w:rPr>
          <w:rFonts w:ascii="Times New Roman" w:hAnsi="Times New Roman" w:cs="Times New Roman"/>
          <w:noProof/>
          <w:sz w:val="24"/>
          <w:szCs w:val="24"/>
          <w:lang w:val="en-GB" w:eastAsia="en-GB"/>
        </w:rPr>
        <w:t xml:space="preserve">0, 0.1]. The probability of a synapse to be created between any two cells falls off with their distance </w:t>
      </w:r>
      <w:r w:rsidRPr="007C17A6">
        <w:rPr>
          <w:rFonts w:ascii="Times New Roman" w:hAnsi="Times New Roman" w:cs="Times New Roman"/>
          <w:noProof/>
        </w:rPr>
        <w:fldChar w:fldCharType="begin" w:fldLock="1"/>
      </w:r>
      <w:r w:rsidR="007F4106" w:rsidRPr="007C17A6">
        <w:rPr>
          <w:rFonts w:ascii="Times New Roman" w:hAnsi="Times New Roman" w:cs="Times New Roman"/>
          <w:noProof/>
        </w:rPr>
        <w:instrText>ADDIN CSL_CITATION { "citationItems" : [ { "id" : "ITEM-1", "itemData" : { "ISBN" : "3662037351", "author" : [ { "dropping-particle" : "", "family" : "Braitenberg", "given" : "V.", "non-dropping-particle" : "", "parse-names" : false, "suffix" : "" }, { "dropping-particle" : "", "family" : "Sch\u00fcz", "given" : "A.", "non-dropping-particle" : "", "parse-names" : false, "suffix" : "" } ], "id" : "ITEM-1", "issued" : { "date-parts" : [ [ "1998" ] ] }, "page" : "135-137", "publisher" : "Springer", "publisher-place" : "Berlin", "title" : "Cortex: statistics and geometry of neuronal connectivity", "type" : "chapter" }, "uris" : [ "http://www.mendeley.com/documents/?uuid=8a1c3f87-34cc-4109-9f32-63199c749a30" ] } ], "mendeley" : { "formattedCitation" : "(Braitenberg and Sch\u00fcz, 1998)", "plainTextFormattedCitation" : "(Braitenberg and Sch\u00fcz, 1998)", "previouslyFormattedCitation" : "(Braitenberg and Sch\u00fcz, 1998)" }, "properties" : {  }, "schema" : "https://github.com/citation-style-language/schema/raw/master/csl-citation.json" }</w:instrText>
      </w:r>
      <w:r w:rsidRPr="007C17A6">
        <w:rPr>
          <w:rFonts w:ascii="Times New Roman" w:hAnsi="Times New Roman" w:cs="Times New Roman"/>
          <w:noProof/>
        </w:rPr>
        <w:fldChar w:fldCharType="separate"/>
      </w:r>
      <w:bookmarkStart w:id="63" w:name="__Fieldmark__1019_582625014"/>
      <w:r w:rsidR="001C3C6B" w:rsidRPr="007C17A6">
        <w:rPr>
          <w:rFonts w:ascii="Times New Roman" w:hAnsi="Times New Roman" w:cs="Times New Roman"/>
          <w:noProof/>
          <w:sz w:val="24"/>
          <w:szCs w:val="24"/>
          <w:lang w:val="en-GB" w:eastAsia="en-GB"/>
        </w:rPr>
        <w:t>(Braitenberg and Schüz, 1998)</w:t>
      </w:r>
      <w:r w:rsidRPr="007C17A6">
        <w:rPr>
          <w:rFonts w:ascii="Times New Roman" w:hAnsi="Times New Roman" w:cs="Times New Roman"/>
          <w:noProof/>
        </w:rPr>
        <w:fldChar w:fldCharType="end"/>
      </w:r>
      <w:bookmarkEnd w:id="63"/>
      <w:r w:rsidRPr="007C17A6">
        <w:rPr>
          <w:rFonts w:ascii="Times New Roman" w:hAnsi="Times New Roman" w:cs="Times New Roman"/>
          <w:noProof/>
          <w:sz w:val="24"/>
          <w:szCs w:val="24"/>
          <w:lang w:val="en-GB" w:eastAsia="en-GB"/>
        </w:rPr>
        <w:t xml:space="preserve"> according to a Gaussian function clipped to 0 outside the </w:t>
      </w:r>
      <w:r w:rsidRPr="007C17A6">
        <w:rPr>
          <w:rFonts w:ascii="Times New Roman" w:hAnsi="Times New Roman" w:cs="Times New Roman"/>
          <w:noProof/>
          <w:sz w:val="24"/>
          <w:szCs w:val="24"/>
          <w:lang w:val="en-GB" w:eastAsia="en-GB"/>
        </w:rPr>
        <w:lastRenderedPageBreak/>
        <w:t xml:space="preserve">chosen neighborhood (a square of size </w:t>
      </w:r>
      <w:r w:rsidRPr="007C17A6">
        <w:rPr>
          <w:rFonts w:ascii="Times New Roman" w:hAnsi="Times New Roman" w:cs="Times New Roman"/>
          <w:i/>
          <w:noProof/>
          <w:sz w:val="24"/>
          <w:szCs w:val="24"/>
          <w:lang w:val="en-GB" w:eastAsia="en-GB"/>
        </w:rPr>
        <w:t>n</w:t>
      </w:r>
      <w:r w:rsidRPr="007C17A6">
        <w:rPr>
          <w:rFonts w:ascii="Times New Roman" w:hAnsi="Times New Roman" w:cs="Times New Roman"/>
          <w:noProof/>
          <w:sz w:val="24"/>
          <w:szCs w:val="24"/>
          <w:lang w:val="en-GB" w:eastAsia="en-GB"/>
        </w:rPr>
        <w:t xml:space="preserve">=19 for excitatory and </w:t>
      </w:r>
      <w:r w:rsidRPr="007C17A6">
        <w:rPr>
          <w:rFonts w:ascii="Times New Roman" w:hAnsi="Times New Roman" w:cs="Times New Roman"/>
          <w:i/>
          <w:noProof/>
          <w:sz w:val="24"/>
          <w:szCs w:val="24"/>
          <w:lang w:val="en-GB" w:eastAsia="en-GB"/>
        </w:rPr>
        <w:t>n</w:t>
      </w:r>
      <w:r w:rsidRPr="007C17A6">
        <w:rPr>
          <w:rFonts w:ascii="Times New Roman" w:hAnsi="Times New Roman" w:cs="Times New Roman"/>
          <w:noProof/>
          <w:sz w:val="24"/>
          <w:szCs w:val="24"/>
          <w:lang w:val="en-GB" w:eastAsia="en-GB"/>
        </w:rPr>
        <w:t>=5 for inhibitory cell projections). This produces</w:t>
      </w:r>
      <w:r w:rsidRPr="007C17A6">
        <w:rPr>
          <w:rFonts w:ascii="Times New Roman" w:hAnsi="Times New Roman" w:cs="Times New Roman"/>
          <w:sz w:val="24"/>
          <w:szCs w:val="24"/>
          <w:lang w:val="en-GB" w:eastAsia="en-GB"/>
        </w:rPr>
        <w:t xml:space="preserve"> </w:t>
      </w:r>
      <w:r w:rsidRPr="007C17A6">
        <w:rPr>
          <w:rFonts w:ascii="Times New Roman" w:hAnsi="Times New Roman" w:cs="Times New Roman"/>
          <w:noProof/>
          <w:sz w:val="24"/>
          <w:szCs w:val="24"/>
          <w:lang w:val="en-GB" w:eastAsia="en-GB"/>
        </w:rPr>
        <w:t>sparse</w:t>
      </w:r>
      <w:r w:rsidRPr="007C17A6">
        <w:rPr>
          <w:rFonts w:ascii="Times New Roman" w:hAnsi="Times New Roman" w:cs="Times New Roman"/>
          <w:sz w:val="24"/>
          <w:szCs w:val="24"/>
          <w:lang w:val="en-GB" w:eastAsia="en-GB"/>
        </w:rPr>
        <w:t xml:space="preserve">, patchy and topographic connectivity, as typically found in the mammalian cortex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"10.1002/cne.903340103", "ISBN" : "0021-9967", "ISSN" : "0021-9967", "PMID" : "8408757", "abstract" : "Neuronal response properties vary markedly at increasing levels of the cortical hierarchy. At present it is unclear how these variations are reflected in the organization of the intrinsic cortical circuitry. Here we analyze patterns of intrinsic horizontal connections at different hierarchical levels in the visual cortex of the macaque monkey. The connections were studied in tangential sections of flattened cortices, which were injected with the anterograde tracer biocytin. We directly compared the organization of connections in four cortical areas representing four different levels in the cortical hierarchy. The areas were visual areas 1, 2, 4 and Brodman's area 7a (V1, V2, V4 and 7a, respectively). In all areas studied, injections labeled numerous horizontally coursing axons that formed dense halos around the injection sites. Further away, the fibers tended to form separate clusters. Many fibers could be traced along the way from the injection sites to the target clusters. At progressively higher order areas, there was a striking increase in the spread of intrinsic connections: from a measured distance of 2.1 mm in area V1 to 9.0 mm in area 7a. Average interpatch distance also increased from 0.61 mm in area V1 to 1.56 mm in area 7a. In contrast, patch size changed far less at higher order areas, from an average width of 230 micron(s) in area V1 to 310 micron(s) in area 7a. Analysis of synaptic bouton distribution along axons revealed that average interbouton distance remained constant at 6.4 micron(s) (median) in and out of the clusters and in the different cortical areas. Larger injections resulted in a marked increase in the number of labeled patches but only a minor increase in the spread of connections or in patch size. Thus, in line with the more global computational roles proposed for the higher order visual areas, the spread of intrinsic connections is increased with the hierarchy level. On the other hand, the clustered organization of the connections is preserved at higher order areas. These clusters may reflect the existence of cortical modules having blob-like dimensions throughout macaque monkey visual cortex.", "author" : [ { "dropping-particle" : "", "family" : "Amir", "given" : "Y", "non-dropping-particle" : "", "parse-names" : false, "suffix" : "" }, { "dropping-particle" : "", "family" : "Harel", "given" : "M", "non-dropping-particle" : "", "parse-names" : false, "suffix" : "" }, { "dropping-particle" : "", "family" : "Malach", "given" : "R", "non-dropping-particle" : "", "parse-names" : false, "suffix" : "" } ], "container-title" : "Journal of Comparative Neurology", "id" : "ITEM-1", "issue" : "1", "issued" : { "date-parts" : [ [ "1993" ] ] }, "page" : "19-46", "title" : "Cortical hierarchy reflected in the organization of intrinsic connections in macaque monkey visual cortex", "type" : "article-journal", "volume" : "334" }, "uris" : [ "http://www.mendeley.com/documents/?uuid=bed6d6d2-68c3-4332-9c99-6bc75c2e9c0a" ] }, { "id" : "ITEM-2", "itemData" : { "DOI" : "http://dx.doi.org/10.1016/S0361-9230(97)00094-4", "ISSN" : "0361-9230", "abstract" : "In all mammals, much of the neocortex consists of orderly representations or maps of receptor surfaces that are typically topographic at a global level, while being modular at the local level. These representations appear to emerge in development as a result of a few interacting factors, and different aspects of brain maps may be developmentally linked. As a result, evolutionary selection for some map features may require other features that may not be adaptive. Yet, an overall adaptiveness of brain maps seems likely. Most notably, topographic representations permit interconnections between appropriate sets of neurons to be made in a highly efficient manner. Topographic maps provide an especially suitable substrate for the common spatiotemporal computations for neural circuits. Finally, aspects of perception suggest the functional importance of topographic maps.", "author" : [ { "dropping-particle" : "", "family" : "Kaas", "given" : "Jon H", "non-dropping-particle" : "", "parse-names" : false, "suffix" : "" } ], "container-title" : "Brain Research Bulletin", "id" : "ITEM-2", "issue" : "2", "issued" : { "date-parts" : [ [ "1997" ] ] }, "page" : "107-112", "title" : "Topographic Maps are Fundamental to Sensory Processing", "type" : "article-journal", "volume" : "44" }, "uris" : [ "http://www.mendeley.com/documents/?uuid=86dfb375-bafb-45e9-bd01-63015c938fb0" ] }, { "id" : "ITEM-3", "itemData" : { "ISBN" : "3662037351", "author" : [ { "dropping-particle" : "", "family" : "Braitenberg", "given" : "V.", "non-dropping-particle" : "", "parse-names" : false, "suffix" : "" }, { "dropping-particle" : "", "family" : "Sch\u00fcz", "given" : "A.", "non-dropping-particle" : "", "parse-names" : false, "suffix" : "" } ], "id" : "ITEM-3", "issued" : { "date-parts" : [ [ "1998" ] ] }, "page" : "135-137", "publisher" : "Springer", "publisher-place" : "Berlin", "title" : "Cortex: statistics and geometry of neuronal connectivity", "type" : "chapter" }, "uris" : [ "http://www.mendeley.com/documents/?uuid=8a1c3f87-34cc-4109-9f32-63199c749a30" ] }, { "id" : "ITEM-4", "itemData" : { "DOI" : "10.1146/annurev.neuro.27.070203.144152", "ISBN" : "0147-006X (Print)\\r0147-006X (Linking)", "ISSN" : "0147-006X", "PMID" : "15217339", "abstract" : "We explore the extent to which neocortical circuits generalize, i.e., to what extent can neocortical neurons and the circuits they form be considered as canonical? We find that, as has long been suspected by cortical neuroanatomists, the same basic laminar and tangential organization of the excitatory neurons of the neocortex is evident wherever it has been sought. Similarly, the inhibitory neurons show characteristic morphology and patterns of connections throughout the neocortex. We offer a simple model of cortical processing that is consistent with the major features of cortical circuits: The superficial layer neurons within local patches of cortex, and within areas, cooperate to explore all possible interpretations of different cortical input and cooperatively select an interpretation consistent with their various cortical and subcortical inputs.", "author" : [ { "dropping-particle" : "", "family" : "Douglas", "given" : "Rodney J.", "non-dropping-particle" : "", "parse-names" : false, "suffix" : "" }, { "dropping-particle" : "", "family" : "Martin", "given" : "Kevan A.C.", "non-dropping-particle" : "", "parse-names" : false, "suffix" : "" } ], "container-title" : "Annual Review of Neuroscience", "id" : "ITEM-4", "issue" : "1", "issued" : { "date-parts" : [ [ "2004" ] ] }, "note" : "0147-006X (Print)\nJournal Article\nResearch Support, Non-U.S. Gov't\nReview", "page" : "419-451", "title" : "Neuronal Circuits of the Neocortex", "type" : "article-journal", "volume" : "27" }, "uris" : [ "http://www.mendeley.com/documents/?uuid=9fa6bf61-235e-4c68-94b3-9c8fa7f4fcf5" ] } ], "mendeley" : { "formattedCitation" : "(Amir et al., 1993; Braitenberg and Sch\u00fcz, 1998; Douglas and Martin, 2004; Kaas, 1997)", "plainTextFormattedCitation" : "(Amir et al., 1993; Braitenberg and Sch\u00fcz, 1998; Douglas and Martin, 2004; Kaas, 1997)", "previouslyFormattedCitation" : "(Amir et al., 1993; Braitenberg and Sch\u00fcz, 1998; Douglas and Martin, 2004; Kaas, 1997)" }, "properties" : {  }, "schema" : "https://github.com/citation-style-language/schema/raw/master/csl-citation.json" }</w:instrText>
      </w:r>
      <w:r w:rsidRPr="007C17A6">
        <w:rPr>
          <w:rFonts w:ascii="Times New Roman" w:hAnsi="Times New Roman" w:cs="Times New Roman"/>
        </w:rPr>
        <w:fldChar w:fldCharType="separate"/>
      </w:r>
      <w:bookmarkStart w:id="64" w:name="__Fieldmark__1034_582625014"/>
      <w:r w:rsidR="001C3C6B" w:rsidRPr="007C17A6">
        <w:rPr>
          <w:rFonts w:ascii="Times New Roman" w:hAnsi="Times New Roman" w:cs="Times New Roman"/>
          <w:noProof/>
          <w:sz w:val="24"/>
          <w:szCs w:val="24"/>
          <w:lang w:eastAsia="en-GB"/>
        </w:rPr>
        <w:t>(Amir et al., 1993; Braitenberg and Schüz, 1998; Douglas and Martin, 2004; Kaas, 1997)</w:t>
      </w:r>
      <w:r w:rsidRPr="007C17A6">
        <w:rPr>
          <w:rFonts w:ascii="Times New Roman" w:hAnsi="Times New Roman" w:cs="Times New Roman"/>
        </w:rPr>
        <w:fldChar w:fldCharType="end"/>
      </w:r>
      <w:bookmarkEnd w:id="64"/>
      <w:r w:rsidRPr="007C17A6">
        <w:rPr>
          <w:rFonts w:ascii="Times New Roman" w:hAnsi="Times New Roman" w:cs="Times New Roman"/>
          <w:sz w:val="24"/>
          <w:szCs w:val="24"/>
          <w:lang w:eastAsia="en-GB"/>
        </w:rPr>
        <w:t xml:space="preserve">. </w:t>
      </w:r>
    </w:p>
    <w:p w14:paraId="5B832E0F" w14:textId="77777777" w:rsidR="00E740D6" w:rsidRPr="007C17A6" w:rsidRDefault="00E740D6" w:rsidP="00E740D6">
      <w:pPr>
        <w:spacing w:before="120" w:after="120" w:line="240" w:lineRule="auto"/>
        <w:ind w:firstLine="288"/>
        <w:contextualSpacing/>
        <w:jc w:val="both"/>
        <w:rPr>
          <w:rFonts w:ascii="Times New Roman" w:hAnsi="Times New Roman" w:cs="Times New Roman"/>
        </w:rPr>
      </w:pPr>
    </w:p>
    <w:p w14:paraId="4D821F57" w14:textId="7CEB5833" w:rsidR="00B30D84" w:rsidRPr="007C17A6" w:rsidRDefault="00B30D84" w:rsidP="0077421C">
      <w:pPr>
        <w:spacing w:before="120" w:after="120" w:line="240" w:lineRule="auto"/>
        <w:contextualSpacing/>
        <w:jc w:val="both"/>
        <w:rPr>
          <w:rFonts w:ascii="Times New Roman" w:hAnsi="Times New Roman" w:cs="Times New Roman"/>
          <w:sz w:val="24"/>
          <w:szCs w:val="24"/>
          <w:lang w:val="en-GB" w:eastAsia="en-GB"/>
        </w:rPr>
      </w:pPr>
      <w:r w:rsidRPr="007C17A6">
        <w:rPr>
          <w:rFonts w:ascii="Times New Roman" w:hAnsi="Times New Roman" w:cs="Times New Roman"/>
          <w:noProof/>
          <w:sz w:val="24"/>
          <w:szCs w:val="24"/>
          <w:lang w:val="en-GB" w:eastAsia="en-GB"/>
        </w:rPr>
        <w:t>The Hebbian learning mechanism implemented simulates well-documented synaptic plasticity phenomena of long-term potentiation (LTP) and depression (LTD), as</w:t>
      </w:r>
      <w:r w:rsidRPr="007C17A6">
        <w:rPr>
          <w:rFonts w:ascii="Times New Roman" w:hAnsi="Times New Roman" w:cs="Times New Roman"/>
          <w:sz w:val="24"/>
          <w:szCs w:val="24"/>
          <w:lang w:val="en-GB" w:eastAsia="en-GB"/>
        </w:rPr>
        <w:t xml:space="preserve"> implemented </w:t>
      </w:r>
      <w:r w:rsidRPr="007C17A6">
        <w:rPr>
          <w:rFonts w:ascii="Times New Roman" w:hAnsi="Times New Roman" w:cs="Times New Roman"/>
          <w:noProof/>
          <w:sz w:val="24"/>
          <w:szCs w:val="24"/>
          <w:lang w:val="en-GB" w:eastAsia="en-GB"/>
        </w:rPr>
        <w:t xml:space="preserve">by Artola, Bröcher and Singer </w:t>
      </w:r>
      <w:r w:rsidRPr="007C17A6">
        <w:rPr>
          <w:rFonts w:ascii="Times New Roman" w:hAnsi="Times New Roman" w:cs="Times New Roman"/>
          <w:noProof/>
        </w:rPr>
        <w:fldChar w:fldCharType="begin" w:fldLock="1"/>
      </w:r>
      <w:r w:rsidR="007F4106" w:rsidRPr="007C17A6">
        <w:rPr>
          <w:rFonts w:ascii="Times New Roman" w:hAnsi="Times New Roman" w:cs="Times New Roman"/>
          <w:noProof/>
        </w:rPr>
        <w:instrText>ADDIN CSL_CITATION { "citationItems" : [ { "id" : "ITEM-1", "itemData" : { "DOI" : "10.1038/347069a0", "ISBN" : "0028-0836 (Print)", "ISSN" : "0028-0836", "PMID" : "1975639", "abstract" : "In the hippocampus and neocortex, high-frequency (tetanic) stimulation of an afferent pathway leads to long-term potentiation (LTP) of synaptic transmission. In the hippocampus it has recently been shown that long-term depression (LTD) of excitatory transmission can also be induced by certain combinations of synaptic activation. In most hippocampal and all neocortical pathways studied so far, the induction of LTP requires the activation of N-methyl-D-aspartate (NMDA) receptor-gated conductances. Here we report that LTD can occur in neurons of slices of the rat visual cortex and that the same tetanic stimulation can induce either LTP or LTD depending on the level of depolarization of the postsynaptic neuron. By applying intracellular current injections or pharmacological disinhibition to modify the depolarizing response of the postsynaptic neuron to tetanic stimulation, we show that the mechanisms of induction of LTD and LTP are both postsynaptic. LTD is obtained if postsynaptic depolarization exceeds a critical level but remains below a threshold related to NMDA receptor-gated conductances, whereas LTP is induced if this second threshold is reached.", "author" : [ { "dropping-particle" : "", "family" : "Artola", "given" : "A", "non-dropping-particle" : "", "parse-names" : false, "suffix" : "" }, { "dropping-particle" : "", "family" : "Br\u00f6cher", "given" : "S", "non-dropping-particle" : "", "parse-names" : false, "suffix" : "" }, { "dropping-particle" : "", "family" : "Singer", "given" : "W", "non-dropping-particle" : "", "parse-names" : false, "suffix" : "" } ], "container-title" : "Nature", "id" : "ITEM-1", "issue" : "6288", "issued" : { "date-parts" : [ [ "1990" ] ] }, "note" : "LTP and LTD can be induced in the same cell depending on the level of depolarizatin of the postsynaptic neuron. methods: pharmacological disinhibition - bicuculine - or current application to postsynaptic neuron; LTD is obtained if postsynaptic depolarization (is above a threshold but) remains a threshold related to NMDA receptor gated conductances, whereas LTP is induced if this second threshld is reached\nReprint Status: In File", "page" : "69-72", "title" : "Different voltage-dependent thresholds for inducing long-term depression and long-term potentiation in slices of rat visual cortex.", "type" : "article-journal", "volume" : "347" }, "uris" : [ "http://www.mendeley.com/documents/?uuid=ec431f86-d45d-405b-8ff8-b8f1e7524a72" ] }, { "id" : "ITEM-2", "itemData" : { "author" : [ { "dropping-particle" : "", "family" : "Artola", "given" : "Alain", "non-dropping-particle" : "", "parse-names" : false, "suffix" : "" }, { "dropping-particle" : "", "family" : "Singer", "given" : "Wolf", "non-dropping-particle" : "", "parse-names" : false, "suffix" : "" } ], "container-title" : "Trends Neurosci.", "id" : "ITEM-2", "issued" : { "date-parts" : [ [ "1993" ] ] }, "note" : "In many brain areas, including the cerebellar cortex, neocortex, hippocampus, striatum and nucleus accumbens, brief activation of an excitatory pathway can produce long-term depression (LTD) of synaptic transmission. In most preparations, induction of LTD has been shown to require a minimum level of postsynaptic depolarization and a rise in the intracellular Ca2+ concentration [Ca2+]i in the postsynaptic neurone. Thus, induction conditions resemble those described for the initiation of associative long- term potentiation (LTP). However, data from structures susceptible to both LTD and LTP suggest that a stronger depolarization and a greater increase in [Ca2+]i are required to induce LTP than to initiate LTD. The source of Ca2+ appears to be less critical for the differential induction of LTP and LTD than the amplitude of the Ca2+ surge, since the activation of voltage- and ligand-gated Ca2+ conductances as well as the release from intracellular stores have all been shown to contribute to both LTD and LTP induction. LTD is induceable even at inactive synapses if [Ca2+]i is raised to the appropriate level by antidromic or heterosynaptic activation, or by raising the extracellular Ca2+ concentration [Ca2+]o. These conditions suggest a rule (called here the ABS rule) for activity-dependent synaptic modifications that differs from the classical Hebb rule and that can account for both homosynaptic LTD and LTP as well as for heterosynaptic competition and associativity\nReprint Status: NOT In File", "page" : "480-487", "title" : "Long-Term depression of excitatory synaptic transmission and its relationship to long-term potentiation", "type" : "article-journal", "volume" : "16" }, "uris" : [ "http://www.mendeley.com/documents/?uuid=8a84bc22-42b2-42d9-84f1-35e0eb458e24" ] } ], "mendeley" : { "formattedCitation" : "(Artola et al., 1990; Artola and Singer, 1993)", "plainTextFormattedCitation" : "(Artola et al., 1990; Artola and Singer, 1993)", "previouslyFormattedCitation" : "(Artola et al., 1990; Artola and Singer, 1993)" }, "properties" : {  }, "schema" : "https://github.com/citation-style-language/schema/raw/master/csl-citation.json" }</w:instrText>
      </w:r>
      <w:r w:rsidRPr="007C17A6">
        <w:rPr>
          <w:rFonts w:ascii="Times New Roman" w:hAnsi="Times New Roman" w:cs="Times New Roman"/>
          <w:noProof/>
        </w:rPr>
        <w:fldChar w:fldCharType="separate"/>
      </w:r>
      <w:bookmarkStart w:id="65" w:name="__Fieldmark__1045_582625014"/>
      <w:r w:rsidR="001C3C6B" w:rsidRPr="007C17A6">
        <w:rPr>
          <w:rFonts w:ascii="Times New Roman" w:hAnsi="Times New Roman" w:cs="Times New Roman"/>
          <w:noProof/>
          <w:sz w:val="24"/>
          <w:szCs w:val="24"/>
          <w:lang w:val="en-GB" w:eastAsia="en-GB"/>
        </w:rPr>
        <w:t>(Artola et al., 1990; Artola and Singer, 1993)</w:t>
      </w:r>
      <w:r w:rsidRPr="007C17A6">
        <w:rPr>
          <w:rFonts w:ascii="Times New Roman" w:hAnsi="Times New Roman" w:cs="Times New Roman"/>
          <w:noProof/>
        </w:rPr>
        <w:fldChar w:fldCharType="end"/>
      </w:r>
      <w:bookmarkEnd w:id="65"/>
      <w:r w:rsidRPr="007C17A6">
        <w:rPr>
          <w:rFonts w:ascii="Times New Roman" w:hAnsi="Times New Roman" w:cs="Times New Roman"/>
          <w:noProof/>
          <w:sz w:val="24"/>
          <w:szCs w:val="24"/>
          <w:lang w:val="en-GB" w:eastAsia="en-GB"/>
        </w:rPr>
        <w:t>. This rule provides a realistic approximation of known experience-dependent neuronal plasticity and learning</w:t>
      </w:r>
      <w:r w:rsidRPr="007C17A6">
        <w:rPr>
          <w:rFonts w:ascii="Times New Roman" w:hAnsi="Times New Roman" w:cs="Times New Roman"/>
          <w:sz w:val="24"/>
          <w:szCs w:val="24"/>
          <w:lang w:val="en-GB" w:eastAsia="en-GB"/>
        </w:rPr>
        <w:t xml:space="preserve">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"10.1093/brain/122.9.1781", "ISBN" : "0006-8950 (Print)\\n0006-8950 (Linking)", "ISSN" : "00068950", "PMID" : "10468516", "abstract" : "It has long been a matter of debate whether recovery from aphasia after left perisylvian lesions is mediated by the preserved left hemispheric language zones or by the homologous right hemisphere regions. Using PET, we investigated the short-term changes in the cortical network involved in language comprehension during recovery from aphasia. In 12 consecutive measurements of regional cerebral blood flow (rCBF), four patients with Wernicke's aphasia, caused by a posterior left middle cerebral artery infarction, were tested with a language comprehension task. Comprehension was estimated directly after each scan with a modified version of the Token Test. In the interval between the scans, the patients participated in brief, intense language comprehension training. A significant improvement in performance was observed in all patients. We correlated changes in blood flow measured during the language comprehension task with the scores achieved in the Token Test. The regions which best correlated with the training-induced improvement in verbal comprehension were the posterior part of the right superior temporal gyrus and the left precuneus. This study supports the role of the right hemisphere in recovery from aphasia and demonstrates that the improvement in auditory comprehension induced by specific training is associated with functional brain reorganization.", "author" : [ { "dropping-particle" : "", "family" : "Musso", "given" : "Mariacristina", "non-dropping-particle" : "", "parse-names" : false, "suffix" : "" }, { "dropping-particle" : "", "family" : "Weiller", "given" : "Cornelius", "non-dropping-particle" : "", "parse-names" : false, "suffix" : "" }, { "dropping-particle" : "", "family" : "Kiebel", "given" : "Stefan", "non-dropping-particle" : "", "parse-names" : false, "suffix" : "" }, { "dropping-particle" : "", "family" : "M\u00fcller", "given" : "Stephan P.", "non-dropping-particle" : "", "parse-names" : false, "suffix" : "" }, { "dropping-particle" : "", "family" : "B\u00fclau", "given" : "Peter", "non-dropping-particle" : "", "parse-names" : false, "suffix" : "" }, { "dropping-particle" : "", "family" : "Rijntjes", "given" : "Michel", "non-dropping-particle" : "", "parse-names" : false, "suffix" : "" } ], "container-title" : "Brain", "id" : "ITEM-1", "issue" : "9", "issued" : { "date-parts" : [ [ "1999" ] ] }, "note" : "0006-8950\nJournal Article", "page" : "1781-1790", "title" : "Training-induced brain plasticity in aphasia", "type" : "article-journal", "volume" : "122" }, "uris" : [ "http://www.mendeley.com/documents/?uuid=c4888613-1431-47f7-ae8b-ac3f568bbbc3" ] }, { "id" : "ITEM-2", "itemData" : { "ISBN" : "0896-6273", "abstract" : "LTP and LTD, the long-term potentiation and depression of excitatory synaptic transmission, are widespread phenomena expressed at possibly every excitatory synapse in the mammalian brain. It is now clear that \"LTP\" and \"LTD\" are not unitary phenomena. Their mechanisms vary depending on the synapses and circuits in which they operate. Here we review those forms of LTP and LTD for which mechanisms have been most firmly established. Examples are provided that show how these mechanisms can contribute to experience-dependent modifications of brain function.", "author" : [ { "dropping-particle" : "", "family" : "Malenka", "given" : "R C", "non-dropping-particle" : "", "parse-names" : false, "suffix" : "" }, { "dropping-particle" : "", "family" : "Bear", "given" : "M F", "non-dropping-particle" : "", "parse-names" : false, "suffix" : "" } ], "container-title" : "Neuron", "id" : "ITEM-2", "issue" : "1", "issued" : { "date-parts" : [ [ "2004" ] ] }, "language" : "English", "note" : "858ZY\nTimes Cited:419\nCited References Count:275", "page" : "5-21", "title" : "LTP and LTD: An embarrassment of riches", "type" : "article-journal", "volume" : "44" }, "uris" : [ "http://www.mendeley.com/documents/?uuid=758eb228-13b0-4b85-9fed-e08c7cbfe896" ] }, { "id" : "ITEM-3", "itemData" : { "DOI" : "10.1016/j.neubiorev.2012.03.008", "ISBN" : "0149-7634", "ISSN" : "01497634", "PMID" : "22484475", "abstract" : "Memory allows organisms to predict future events based on prior experiences. This requires encoded information to persist once important predictors are extracted, while also being modifiable in response to changes within the environment. Memory reconsolidation may allow stored information to be modified in response to related experience. However, there are many boundary conditions beyond which reconsolidation may not occur. One interpretation of these findings is that the event triggering memory retrieval must contain new information about a familiar stimulus in order to induce reconsolidation. Presently, the mechanisms that affect the likelihood of reconsolidation occurring under these conditions are not well understood. Here we speculate on a number of systems that may play a role in protecting memory from being destabilized during retrieval. We conclude that few memories may enter a state in which they cannot be modified. Rather, metaplasticity mechanisms may serve to alter the specific reactivation cues necessary to destabilize a memory. This might imply that destabilization mechanisms can differ depending on learning conditions. ?? 2012 Elsevier Ltd.", "author" : [ { "dropping-particle" : "", "family" : "Finnie", "given" : "Peter S B", "non-dropping-particle" : "", "parse-names" : false, "suffix" : "" }, { "dropping-particle" : "", "family" : "Nader", "given" : "Karim", "non-dropping-particle" : "", "parse-names" : false, "suffix" : "" } ], "container-title" : "Neuroscience and Biobehavioral Reviews", "edition" : "2012/04/10", "id" : "ITEM-3", "issue" : "7", "issued" : { "date-parts" : [ [ "2012" ] ] }, "language" : "eng", "note" : "Finnie, Peter S B\nNader, Karim\nNeurosci Biobehav Rev. 2012 Aug;36(7):1667-707. doi: 10.1016/j.neubiorev.2012.03.008. Epub 2012 Mar 30.", "page" : "1667-1707", "title" : "The role of metaplasticity mechanisms in regulating memory destabilization and reconsolidation", "type" : "article-journal", "volume" : "36" }, "uris" : [ "http://www.mendeley.com/documents/?uuid=79508b81-e8f0-46db-b8a3-7b8f138d1b77" ] }, { "id" : "ITEM-4", "itemData" : { "abstract" : "The hypothesis that learning occurs through long-term potentiation (LTP)\u2013 and long-term depression (LTD)\u2013like mechanisms is widely held but unproven. This hypothesis makes three assumptions: Synapses are modifiable, they modify with learning, and they strengthen through an LTP-like mechanism. We previously established the ability for synaptic modification and a synaptic strengthening with motor skill learning in horizontal connections of the rat motor cortex (MI). Here we investigated whether learning strengthened these connections through LTP. We demonstrated that synapses in the trained MI were near the ceiling of their modification range, compared with the untrained MI, but the range of synaptic modification was not affected by learning. In the trained MI, LTP was markedly reduced and LTD was enhanced. These results are consistent with the use of LTP to strengthen synapses during learning.", "author" : [ { "dropping-particle" : "", "family" : "Rioult-Pedotti", "given" : "Mengia-S.", "non-dropping-particle" : "", "parse-names" : false, "suffix" : "" }, { "dropping-particle" : "", "family" : "Friedman", "given" : "Daniel", "non-dropping-particle" : "", "parse-names" : false, "suffix" : "" }, { "dropping-particle" : "", "family" : "Donoghue", "given" : "John P", "non-dropping-particle" : "", "parse-names" : false, "suffix" : "" } ], "container-title" : "Science", "id" : "ITEM-4", "issue" : "5491", "issued" : { "date-parts" : [ [ "2000", "10", "20" ] ] }, "page" : "533 LP  - 536", "title" : "Learning-Induced LTP in Neocortex", "type" : "article-journal", "volume" : "290" }, "uris" : [ "http://www.mendeley.com/documents/?uuid=2d81d12f-6fd2-4965-a371-c4aa5b565b26" ] } ], "mendeley" : { "formattedCitation" : "(Finnie and Nader, 2012; Malenka and Bear, 2004; Musso et al., 1999; Rioult-Pedotti et al., 2000)", "plainTextFormattedCitation" : "(Finnie and Nader, 2012; Malenka and Bear, 2004; Musso et al., 1999; Rioult-Pedotti et al., 2000)", "previouslyFormattedCitation" : "(Finnie and Nader, 2012; Malenka and Bear, 2004; Musso et al., 1999; Rioult-Pedotti et al., 2000)" }, "properties" : {  }, "schema" : "https://github.com/citation-style-language/schema/raw/master/csl-citation.json" }</w:instrText>
      </w:r>
      <w:r w:rsidRPr="007C17A6">
        <w:rPr>
          <w:rFonts w:ascii="Times New Roman" w:hAnsi="Times New Roman" w:cs="Times New Roman"/>
        </w:rPr>
        <w:fldChar w:fldCharType="separate"/>
      </w:r>
      <w:bookmarkStart w:id="66" w:name="__Fieldmark__1052_582625014"/>
      <w:r w:rsidR="001C3C6B" w:rsidRPr="007C17A6">
        <w:rPr>
          <w:rFonts w:ascii="Times New Roman" w:hAnsi="Times New Roman" w:cs="Times New Roman"/>
          <w:noProof/>
          <w:sz w:val="24"/>
          <w:szCs w:val="24"/>
          <w:lang w:val="en-GB" w:eastAsia="en-GB"/>
        </w:rPr>
        <w:t>(Finnie and Nader, 2012; Malenka and Bear, 2004; Musso et al., 1999; Rioult-Pedotti et al., 2000)</w:t>
      </w:r>
      <w:r w:rsidRPr="007C17A6">
        <w:rPr>
          <w:rFonts w:ascii="Times New Roman" w:hAnsi="Times New Roman" w:cs="Times New Roman"/>
        </w:rPr>
        <w:fldChar w:fldCharType="end"/>
      </w:r>
      <w:bookmarkEnd w:id="66"/>
      <w:r w:rsidRPr="007C17A6">
        <w:rPr>
          <w:rFonts w:ascii="Times New Roman" w:hAnsi="Times New Roman" w:cs="Times New Roman"/>
          <w:sz w:val="24"/>
          <w:szCs w:val="24"/>
          <w:lang w:val="en-GB" w:eastAsia="en-GB"/>
        </w:rPr>
        <w:t xml:space="preserve">, and includes both (homo- and hetero-synaptic, or associative) LTP, as well as homo- and hetero-synaptic LTD. In the model, we </w:t>
      </w:r>
      <w:r w:rsidRPr="007C17A6">
        <w:rPr>
          <w:rFonts w:ascii="Times New Roman" w:hAnsi="Times New Roman" w:cs="Times New Roman"/>
          <w:noProof/>
          <w:sz w:val="24"/>
          <w:szCs w:val="24"/>
          <w:lang w:val="en-GB" w:eastAsia="en-GB"/>
        </w:rPr>
        <w:t>discretized</w:t>
      </w:r>
      <w:r w:rsidRPr="007C17A6">
        <w:rPr>
          <w:rFonts w:ascii="Times New Roman" w:hAnsi="Times New Roman" w:cs="Times New Roman"/>
          <w:sz w:val="24"/>
          <w:szCs w:val="24"/>
          <w:lang w:val="en-GB" w:eastAsia="en-GB"/>
        </w:rPr>
        <w:t xml:space="preserve"> the continuous range of possible synaptic efficacy changes into two possible levels, +Δ and </w:t>
      </w:r>
      <w:r w:rsidRPr="007C17A6">
        <w:rPr>
          <w:rFonts w:ascii="Symbol" w:eastAsia="Symbol" w:hAnsi="Symbol" w:cs="Symbol"/>
          <w:sz w:val="24"/>
          <w:szCs w:val="24"/>
          <w:lang w:val="en-GB" w:eastAsia="en-GB"/>
        </w:rPr>
        <w:t></w:t>
      </w:r>
      <w:r w:rsidRPr="007C17A6">
        <w:rPr>
          <w:sz w:val="24"/>
          <w:szCs w:val="24"/>
          <w:lang w:val="en-GB" w:eastAsia="en-GB"/>
        </w:rPr>
        <w:t xml:space="preserve"> </w:t>
      </w:r>
      <w:r w:rsidRPr="007C17A6">
        <w:rPr>
          <w:rFonts w:ascii="Times New Roman" w:hAnsi="Times New Roman" w:cs="Times New Roman"/>
          <w:sz w:val="24"/>
          <w:szCs w:val="24"/>
          <w:lang w:val="en-GB" w:eastAsia="en-GB"/>
        </w:rPr>
        <w:t>Δ</w:t>
      </w:r>
      <w:r w:rsidRPr="007C17A6">
        <w:rPr>
          <w:rFonts w:ascii="Times New Roman" w:hAnsi="Times New Roman" w:cs="Times New Roman"/>
          <w:i/>
          <w:sz w:val="24"/>
          <w:szCs w:val="24"/>
          <w:lang w:val="en-GB" w:eastAsia="en-GB"/>
        </w:rPr>
        <w:t xml:space="preserve"> </w:t>
      </w:r>
      <w:r w:rsidRPr="007C17A6">
        <w:rPr>
          <w:rFonts w:ascii="Times New Roman" w:hAnsi="Times New Roman" w:cs="Times New Roman"/>
          <w:sz w:val="24"/>
          <w:szCs w:val="24"/>
          <w:lang w:val="en-GB" w:eastAsia="en-GB"/>
        </w:rPr>
        <w:t xml:space="preserve">(with Δ&lt;&lt;1 and fixed). Following </w:t>
      </w:r>
      <w:proofErr w:type="spellStart"/>
      <w:r w:rsidRPr="007C17A6">
        <w:rPr>
          <w:rFonts w:ascii="Times New Roman" w:hAnsi="Times New Roman" w:cs="Times New Roman"/>
          <w:sz w:val="24"/>
          <w:szCs w:val="24"/>
          <w:lang w:val="en-GB" w:eastAsia="en-GB"/>
        </w:rPr>
        <w:t>Artola</w:t>
      </w:r>
      <w:proofErr w:type="spellEnd"/>
      <w:r w:rsidRPr="007C17A6">
        <w:rPr>
          <w:rFonts w:ascii="Times New Roman" w:hAnsi="Times New Roman" w:cs="Times New Roman"/>
          <w:sz w:val="24"/>
          <w:szCs w:val="24"/>
          <w:lang w:val="en-GB" w:eastAsia="en-GB"/>
        </w:rPr>
        <w:t xml:space="preserve"> et al., we defined as “active” any (axonal) projection of excitatory cell </w:t>
      </w:r>
      <w:r w:rsidRPr="007C17A6">
        <w:rPr>
          <w:rFonts w:ascii="Times New Roman" w:hAnsi="Times New Roman" w:cs="Times New Roman"/>
          <w:i/>
          <w:sz w:val="24"/>
          <w:szCs w:val="24"/>
          <w:lang w:val="en-GB" w:eastAsia="en-GB"/>
        </w:rPr>
        <w:t>e</w:t>
      </w:r>
      <w:r w:rsidRPr="007C17A6">
        <w:rPr>
          <w:rFonts w:ascii="Times New Roman" w:hAnsi="Times New Roman" w:cs="Times New Roman"/>
          <w:sz w:val="24"/>
          <w:szCs w:val="24"/>
          <w:lang w:val="en-GB" w:eastAsia="en-GB"/>
        </w:rPr>
        <w:t xml:space="preserve"> such that the estimated firing rate</w:t>
      </w:r>
      <w:r w:rsidRPr="007C17A6">
        <w:rPr>
          <w:sz w:val="24"/>
          <w:szCs w:val="24"/>
          <w:lang w:val="en-GB" w:eastAsia="en-GB"/>
        </w:rPr>
        <w:t xml:space="preserve"> </w:t>
      </w:r>
      <w:r w:rsidRPr="007C17A6">
        <w:rPr>
          <w:rFonts w:ascii="Symbol" w:eastAsia="Symbol" w:hAnsi="Symbol" w:cs="Symbol"/>
          <w:i/>
          <w:sz w:val="24"/>
          <w:szCs w:val="24"/>
          <w:lang w:val="en-GB" w:eastAsia="en-GB"/>
        </w:rPr>
        <w:t></w:t>
      </w:r>
      <w:r w:rsidRPr="007C17A6">
        <w:rPr>
          <w:i/>
          <w:sz w:val="24"/>
          <w:szCs w:val="24"/>
          <w:vertAlign w:val="subscript"/>
          <w:lang w:val="en-GB" w:eastAsia="en-GB"/>
        </w:rPr>
        <w:t>E</w:t>
      </w:r>
      <w:r w:rsidRPr="007C17A6">
        <w:rPr>
          <w:rFonts w:ascii="Times New Roman" w:hAnsi="Times New Roman" w:cs="Times New Roman"/>
          <w:sz w:val="24"/>
          <w:szCs w:val="24"/>
          <w:lang w:val="en-GB" w:eastAsia="en-GB"/>
        </w:rPr>
        <w:t>(</w:t>
      </w:r>
      <w:proofErr w:type="spellStart"/>
      <w:r w:rsidRPr="007C17A6">
        <w:rPr>
          <w:rFonts w:ascii="Times New Roman" w:hAnsi="Times New Roman" w:cs="Times New Roman"/>
          <w:i/>
          <w:sz w:val="24"/>
          <w:szCs w:val="24"/>
          <w:lang w:val="en-GB" w:eastAsia="en-GB"/>
        </w:rPr>
        <w:t>e</w:t>
      </w:r>
      <w:r w:rsidRPr="007C17A6">
        <w:rPr>
          <w:rFonts w:ascii="Times New Roman" w:hAnsi="Times New Roman" w:cs="Times New Roman"/>
          <w:sz w:val="24"/>
          <w:szCs w:val="24"/>
          <w:lang w:val="en-GB" w:eastAsia="en-GB"/>
        </w:rPr>
        <w:t>,</w:t>
      </w:r>
      <w:r w:rsidRPr="007C17A6">
        <w:rPr>
          <w:rFonts w:ascii="Times New Roman" w:hAnsi="Times New Roman" w:cs="Times New Roman"/>
          <w:i/>
          <w:sz w:val="24"/>
          <w:szCs w:val="24"/>
          <w:lang w:val="en-GB" w:eastAsia="en-GB"/>
        </w:rPr>
        <w:t>t</w:t>
      </w:r>
      <w:proofErr w:type="spellEnd"/>
      <w:r w:rsidRPr="007C17A6">
        <w:rPr>
          <w:rFonts w:ascii="Times New Roman" w:hAnsi="Times New Roman" w:cs="Times New Roman"/>
          <w:sz w:val="24"/>
          <w:szCs w:val="24"/>
          <w:lang w:val="en-GB" w:eastAsia="en-GB"/>
        </w:rPr>
        <w:t>)</w:t>
      </w:r>
      <w:r w:rsidRPr="007C17A6">
        <w:rPr>
          <w:sz w:val="24"/>
          <w:szCs w:val="24"/>
          <w:lang w:val="en-GB" w:eastAsia="en-GB"/>
        </w:rPr>
        <w:t xml:space="preserve"> </w:t>
      </w:r>
      <w:r w:rsidRPr="007C17A6">
        <w:rPr>
          <w:rFonts w:ascii="Times New Roman" w:hAnsi="Times New Roman" w:cs="Times New Roman"/>
          <w:sz w:val="24"/>
          <w:szCs w:val="24"/>
          <w:lang w:val="en-GB" w:eastAsia="en-GB"/>
        </w:rPr>
        <w:t xml:space="preserve">of cell </w:t>
      </w:r>
      <w:proofErr w:type="spellStart"/>
      <w:r w:rsidRPr="007C17A6">
        <w:rPr>
          <w:rFonts w:ascii="Times New Roman" w:hAnsi="Times New Roman" w:cs="Times New Roman"/>
          <w:i/>
          <w:sz w:val="24"/>
          <w:szCs w:val="24"/>
          <w:lang w:val="en-GB" w:eastAsia="en-GB"/>
        </w:rPr>
        <w:t xml:space="preserve">e </w:t>
      </w:r>
      <w:r w:rsidRPr="007C17A6">
        <w:rPr>
          <w:rFonts w:ascii="Times New Roman" w:hAnsi="Times New Roman" w:cs="Times New Roman"/>
          <w:sz w:val="24"/>
          <w:szCs w:val="24"/>
          <w:lang w:val="en-GB" w:eastAsia="en-GB"/>
        </w:rPr>
        <w:t>at</w:t>
      </w:r>
      <w:proofErr w:type="spellEnd"/>
      <w:r w:rsidRPr="007C17A6">
        <w:rPr>
          <w:rFonts w:ascii="Times New Roman" w:hAnsi="Times New Roman" w:cs="Times New Roman"/>
          <w:sz w:val="24"/>
          <w:szCs w:val="24"/>
          <w:lang w:val="en-GB" w:eastAsia="en-GB"/>
        </w:rPr>
        <w:t xml:space="preserve"> time </w:t>
      </w:r>
      <w:r w:rsidRPr="007C17A6">
        <w:rPr>
          <w:rFonts w:ascii="Times New Roman" w:hAnsi="Times New Roman" w:cs="Times New Roman"/>
          <w:i/>
          <w:sz w:val="24"/>
          <w:szCs w:val="24"/>
          <w:lang w:val="en-GB" w:eastAsia="en-GB"/>
        </w:rPr>
        <w:t>t</w:t>
      </w:r>
      <w:r w:rsidRPr="007C17A6">
        <w:rPr>
          <w:rFonts w:ascii="Times New Roman" w:hAnsi="Times New Roman" w:cs="Times New Roman"/>
          <w:sz w:val="24"/>
          <w:szCs w:val="24"/>
          <w:lang w:val="en-GB" w:eastAsia="en-GB"/>
        </w:rPr>
        <w:t xml:space="preserve"> (see Eq. (B3.2)) is above</w:t>
      </w:r>
      <w:r w:rsidRPr="007C17A6">
        <w:rPr>
          <w:sz w:val="24"/>
          <w:szCs w:val="24"/>
          <w:lang w:val="en-GB" w:eastAsia="en-GB"/>
        </w:rPr>
        <w:t xml:space="preserve"> </w:t>
      </w:r>
      <w:r w:rsidRPr="007C17A6">
        <w:rPr>
          <w:i/>
          <w:sz w:val="24"/>
          <w:szCs w:val="24"/>
          <w:lang w:val="en-GB" w:eastAsia="en-GB"/>
        </w:rPr>
        <w:t>θ</w:t>
      </w:r>
      <w:r w:rsidRPr="007C17A6">
        <w:rPr>
          <w:i/>
          <w:sz w:val="24"/>
          <w:szCs w:val="24"/>
          <w:vertAlign w:val="subscript"/>
          <w:lang w:val="en-GB" w:eastAsia="en-GB"/>
        </w:rPr>
        <w:t>pre</w:t>
      </w:r>
      <w:r w:rsidRPr="007C17A6">
        <w:rPr>
          <w:sz w:val="24"/>
          <w:szCs w:val="24"/>
          <w:lang w:val="en-GB" w:eastAsia="en-GB"/>
        </w:rPr>
        <w:t xml:space="preserve">, where </w:t>
      </w:r>
      <w:r w:rsidRPr="007C17A6">
        <w:rPr>
          <w:i/>
          <w:sz w:val="24"/>
          <w:szCs w:val="24"/>
          <w:lang w:val="en-GB" w:eastAsia="en-GB"/>
        </w:rPr>
        <w:t>θ</w:t>
      </w:r>
      <w:r w:rsidRPr="007C17A6">
        <w:rPr>
          <w:i/>
          <w:sz w:val="24"/>
          <w:szCs w:val="24"/>
          <w:vertAlign w:val="subscript"/>
          <w:lang w:val="en-GB" w:eastAsia="en-GB"/>
        </w:rPr>
        <w:t>pre</w:t>
      </w:r>
      <w:r w:rsidRPr="007C17A6">
        <w:rPr>
          <w:rFonts w:ascii="Symbol" w:eastAsia="Symbol" w:hAnsi="Symbol" w:cs="Symbol"/>
          <w:sz w:val="24"/>
          <w:szCs w:val="24"/>
          <w:lang w:val="en-GB" w:eastAsia="en-GB"/>
        </w:rPr>
        <w:t></w:t>
      </w:r>
      <w:r w:rsidRPr="007C17A6">
        <w:rPr>
          <w:sz w:val="24"/>
          <w:szCs w:val="24"/>
          <w:lang w:val="en-GB" w:eastAsia="en-GB"/>
        </w:rPr>
        <w:t xml:space="preserve">]0,1] </w:t>
      </w:r>
      <w:r w:rsidRPr="007C17A6">
        <w:rPr>
          <w:rFonts w:ascii="Times New Roman" w:hAnsi="Times New Roman" w:cs="Times New Roman"/>
          <w:sz w:val="24"/>
          <w:szCs w:val="24"/>
          <w:lang w:val="en-GB" w:eastAsia="en-GB"/>
        </w:rPr>
        <w:t xml:space="preserve">is an arbitrary threshold representing the minimum level of presynaptic activity required for LTP (or homosynaptic LTD) </w:t>
      </w:r>
      <w:r w:rsidRPr="007C17A6">
        <w:rPr>
          <w:rFonts w:ascii="Times New Roman" w:hAnsi="Times New Roman" w:cs="Times New Roman"/>
          <w:noProof/>
          <w:sz w:val="24"/>
          <w:szCs w:val="24"/>
          <w:lang w:val="en-GB" w:eastAsia="en-GB"/>
        </w:rPr>
        <w:t xml:space="preserve">to occur. Thus, given a pre-synaptic cell </w:t>
      </w:r>
      <w:r w:rsidRPr="007C17A6">
        <w:rPr>
          <w:rFonts w:ascii="Times New Roman" w:hAnsi="Times New Roman" w:cs="Times New Roman"/>
          <w:i/>
          <w:noProof/>
          <w:sz w:val="24"/>
          <w:szCs w:val="24"/>
          <w:lang w:val="en-GB" w:eastAsia="en-GB"/>
        </w:rPr>
        <w:t>i</w:t>
      </w:r>
      <w:r w:rsidRPr="007C17A6">
        <w:rPr>
          <w:rFonts w:ascii="Times New Roman" w:hAnsi="Times New Roman" w:cs="Times New Roman"/>
          <w:noProof/>
          <w:sz w:val="24"/>
          <w:szCs w:val="24"/>
          <w:lang w:val="en-GB" w:eastAsia="en-GB"/>
        </w:rPr>
        <w:t xml:space="preserve"> making contact onto a post-synaptic cell </w:t>
      </w:r>
      <w:r w:rsidRPr="007C17A6">
        <w:rPr>
          <w:rFonts w:ascii="Times New Roman" w:hAnsi="Times New Roman" w:cs="Times New Roman"/>
          <w:i/>
          <w:noProof/>
          <w:sz w:val="24"/>
          <w:szCs w:val="24"/>
          <w:lang w:val="en-GB" w:eastAsia="en-GB"/>
        </w:rPr>
        <w:t>j</w:t>
      </w:r>
      <w:r w:rsidRPr="007C17A6">
        <w:rPr>
          <w:rFonts w:ascii="Times New Roman" w:hAnsi="Times New Roman" w:cs="Times New Roman"/>
          <w:noProof/>
          <w:sz w:val="24"/>
          <w:szCs w:val="24"/>
          <w:lang w:val="en-GB" w:eastAsia="en-GB"/>
        </w:rPr>
        <w:t>, the change Δ</w:t>
      </w:r>
      <w:r w:rsidRPr="007C17A6">
        <w:rPr>
          <w:rFonts w:ascii="Times New Roman" w:hAnsi="Times New Roman" w:cs="Times New Roman"/>
          <w:i/>
          <w:noProof/>
          <w:sz w:val="24"/>
          <w:szCs w:val="24"/>
          <w:lang w:val="en-GB" w:eastAsia="en-GB"/>
        </w:rPr>
        <w:t>w</w:t>
      </w:r>
      <w:r w:rsidRPr="007C17A6">
        <w:rPr>
          <w:rFonts w:ascii="Times New Roman" w:hAnsi="Times New Roman" w:cs="Times New Roman"/>
          <w:sz w:val="24"/>
          <w:szCs w:val="24"/>
          <w:lang w:val="en-GB" w:eastAsia="en-GB"/>
        </w:rPr>
        <w:t>(</w:t>
      </w:r>
      <w:r w:rsidRPr="007C17A6">
        <w:rPr>
          <w:rFonts w:ascii="Times New Roman" w:hAnsi="Times New Roman" w:cs="Times New Roman"/>
          <w:i/>
          <w:sz w:val="24"/>
          <w:szCs w:val="24"/>
          <w:lang w:val="en-GB" w:eastAsia="en-GB"/>
        </w:rPr>
        <w:t>i,j</w:t>
      </w:r>
      <w:r w:rsidRPr="007C17A6">
        <w:rPr>
          <w:rFonts w:ascii="Times New Roman" w:hAnsi="Times New Roman" w:cs="Times New Roman"/>
          <w:sz w:val="24"/>
          <w:szCs w:val="24"/>
          <w:lang w:val="en-GB" w:eastAsia="en-GB"/>
        </w:rPr>
        <w:t xml:space="preserve">) </w:t>
      </w:r>
      <w:r w:rsidRPr="007C17A6">
        <w:rPr>
          <w:rFonts w:ascii="Times New Roman" w:hAnsi="Times New Roman" w:cs="Times New Roman"/>
          <w:noProof/>
          <w:sz w:val="24"/>
          <w:szCs w:val="24"/>
          <w:lang w:val="en-GB" w:eastAsia="en-GB"/>
        </w:rPr>
        <w:t>inefficacy</w:t>
      </w:r>
      <w:r w:rsidRPr="007C17A6">
        <w:rPr>
          <w:rFonts w:ascii="Times New Roman" w:hAnsi="Times New Roman" w:cs="Times New Roman"/>
          <w:sz w:val="24"/>
          <w:szCs w:val="24"/>
          <w:lang w:val="en-GB" w:eastAsia="en-GB"/>
        </w:rPr>
        <w:t xml:space="preserve"> of the (excitatory-to-excitatory) link from </w:t>
      </w:r>
      <w:r w:rsidRPr="007C17A6">
        <w:rPr>
          <w:rFonts w:ascii="Times New Roman" w:hAnsi="Times New Roman" w:cs="Times New Roman"/>
          <w:i/>
          <w:noProof/>
          <w:sz w:val="24"/>
          <w:szCs w:val="24"/>
          <w:lang w:val="en-GB" w:eastAsia="en-GB"/>
        </w:rPr>
        <w:t>i</w:t>
      </w:r>
      <w:r w:rsidRPr="007C17A6">
        <w:rPr>
          <w:rFonts w:ascii="Times New Roman" w:hAnsi="Times New Roman" w:cs="Times New Roman"/>
          <w:sz w:val="24"/>
          <w:szCs w:val="24"/>
          <w:lang w:val="en-GB" w:eastAsia="en-GB"/>
        </w:rPr>
        <w:t xml:space="preserve"> to </w:t>
      </w:r>
      <w:r w:rsidRPr="007C17A6">
        <w:rPr>
          <w:rFonts w:ascii="Times New Roman" w:hAnsi="Times New Roman" w:cs="Times New Roman"/>
          <w:i/>
          <w:sz w:val="24"/>
          <w:szCs w:val="24"/>
          <w:lang w:val="en-GB" w:eastAsia="en-GB"/>
        </w:rPr>
        <w:t>j</w:t>
      </w:r>
      <w:r w:rsidRPr="007C17A6">
        <w:rPr>
          <w:rFonts w:ascii="Times New Roman" w:hAnsi="Times New Roman" w:cs="Times New Roman"/>
          <w:sz w:val="24"/>
          <w:szCs w:val="24"/>
          <w:lang w:val="en-GB" w:eastAsia="en-GB"/>
        </w:rPr>
        <w:t xml:space="preserve"> is calculated as follows:</w:t>
      </w:r>
    </w:p>
    <w:p w14:paraId="4C5AA15D" w14:textId="080F20AC" w:rsidR="00E740D6" w:rsidRPr="007C17A6" w:rsidRDefault="00E740D6" w:rsidP="00E740D6">
      <w:pPr>
        <w:spacing w:before="120" w:after="120" w:line="240" w:lineRule="auto"/>
        <w:ind w:firstLine="288"/>
        <w:contextualSpacing/>
        <w:jc w:val="both"/>
        <w:rPr>
          <w:rFonts w:ascii="Times New Roman" w:hAnsi="Times New Roman" w:cs="Times New Roman"/>
          <w:sz w:val="24"/>
          <w:szCs w:val="24"/>
          <w:lang w:val="en-GB" w:eastAsia="en-GB"/>
        </w:rPr>
      </w:pPr>
    </w:p>
    <w:p w14:paraId="396F6A2C" w14:textId="47651C22" w:rsidR="0085677F" w:rsidRPr="007C17A6" w:rsidRDefault="0085677F" w:rsidP="0085677F">
      <w:pPr>
        <w:spacing w:before="120" w:after="120" w:line="480" w:lineRule="auto"/>
        <w:ind w:firstLine="288"/>
        <w:contextualSpacing/>
        <w:jc w:val="both"/>
        <w:rPr>
          <w:sz w:val="24"/>
          <w:szCs w:val="24"/>
          <w:lang w:val="en-GB" w:eastAsia="en-GB"/>
        </w:rPr>
      </w:pPr>
      <w:r w:rsidRPr="007C17A6">
        <w:rPr>
          <w:noProof/>
          <w:sz w:val="24"/>
          <w:szCs w:val="24"/>
        </w:rPr>
        <mc:AlternateContent>
          <mc:Choice Requires="wpg">
            <w:drawing>
              <wp:anchor distT="0" distB="0" distL="114300" distR="114300" simplePos="0" relativeHeight="251662336" behindDoc="0" locked="0" layoutInCell="1" allowOverlap="1" wp14:anchorId="7621C9AE" wp14:editId="7407844E">
                <wp:simplePos x="0" y="0"/>
                <wp:positionH relativeFrom="column">
                  <wp:posOffset>476250</wp:posOffset>
                </wp:positionH>
                <wp:positionV relativeFrom="paragraph">
                  <wp:posOffset>60960</wp:posOffset>
                </wp:positionV>
                <wp:extent cx="5307965" cy="1187450"/>
                <wp:effectExtent l="0" t="0" r="6985" b="1270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7965" cy="1187450"/>
                          <a:chOff x="1" y="12700"/>
                          <a:chExt cx="5308760" cy="1187450"/>
                        </a:xfrm>
                      </wpg:grpSpPr>
                      <wps:wsp>
                        <wps:cNvPr id="211" name="AutoShape 159"/>
                        <wps:cNvSpPr>
                          <a:spLocks/>
                        </wps:cNvSpPr>
                        <wps:spPr bwMode="auto">
                          <a:xfrm>
                            <a:off x="659552" y="12700"/>
                            <a:ext cx="113665" cy="1187450"/>
                          </a:xfrm>
                          <a:prstGeom prst="leftBrace">
                            <a:avLst>
                              <a:gd name="adj1" fmla="val 870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160"/>
                        <wps:cNvSpPr txBox="1">
                          <a:spLocks noChangeArrowheads="1"/>
                        </wps:cNvSpPr>
                        <wps:spPr bwMode="auto">
                          <a:xfrm>
                            <a:off x="920768" y="952369"/>
                            <a:ext cx="160661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845B" w14:textId="77777777" w:rsidR="000A22B8" w:rsidRPr="000F714A" w:rsidRDefault="000A22B8" w:rsidP="00B30D84">
                              <w:r>
                                <w:t>0</w:t>
                              </w:r>
                              <w:r w:rsidRPr="004472A2">
                                <w:tab/>
                                <w:t xml:space="preserve">    </w:t>
                              </w:r>
                              <w:r w:rsidRPr="000F714A">
                                <w:rPr>
                                  <w:rFonts w:ascii="Helvetica" w:hAnsi="Helvetica"/>
                                </w:rPr>
                                <w:t xml:space="preserve"> </w:t>
                              </w:r>
                              <w:r>
                                <w:rPr>
                                  <w:rFonts w:ascii="Helvetica" w:hAnsi="Helvetica"/>
                                </w:rPr>
                                <w:t xml:space="preserve">   </w:t>
                              </w:r>
                              <w:r w:rsidRPr="000F714A">
                                <w:rPr>
                                  <w:i/>
                                </w:rPr>
                                <w:t xml:space="preserve">otherwise </w:t>
                              </w:r>
                            </w:p>
                          </w:txbxContent>
                        </wps:txbx>
                        <wps:bodyPr rot="0" vert="horz" wrap="square" lIns="0" tIns="0" rIns="0" bIns="0" anchor="t" anchorCtr="0" upright="1">
                          <a:noAutofit/>
                        </wps:bodyPr>
                      </wps:wsp>
                      <wps:wsp>
                        <wps:cNvPr id="213" name="Text Box 161"/>
                        <wps:cNvSpPr txBox="1">
                          <a:spLocks noChangeArrowheads="1"/>
                        </wps:cNvSpPr>
                        <wps:spPr bwMode="auto">
                          <a:xfrm>
                            <a:off x="4978551" y="469656"/>
                            <a:ext cx="330210" cy="190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E5EC5" w14:textId="77777777" w:rsidR="000A22B8" w:rsidRPr="004472A2" w:rsidRDefault="000A22B8" w:rsidP="00B30D84">
                              <w:pPr>
                                <w:rPr>
                                  <w:rFonts w:ascii="Arial" w:hAnsi="Arial" w:cs="Arial"/>
                                </w:rPr>
                              </w:pPr>
                              <w:r w:rsidRPr="004472A2">
                                <w:rPr>
                                  <w:rFonts w:ascii="Arial" w:hAnsi="Arial" w:cs="Arial"/>
                                </w:rPr>
                                <w:t>(</w:t>
                              </w:r>
                              <w:r>
                                <w:rPr>
                                  <w:rFonts w:ascii="Arial" w:hAnsi="Arial" w:cs="Arial"/>
                                </w:rPr>
                                <w:t>B4</w:t>
                              </w:r>
                              <w:r w:rsidRPr="004472A2">
                                <w:rPr>
                                  <w:rFonts w:ascii="Arial" w:hAnsi="Arial" w:cs="Arial"/>
                                </w:rPr>
                                <w:t>)</w:t>
                              </w:r>
                            </w:p>
                          </w:txbxContent>
                        </wps:txbx>
                        <wps:bodyPr rot="0" vert="horz" wrap="square" lIns="0" tIns="0" rIns="0" bIns="0" anchor="t" anchorCtr="0" upright="1">
                          <a:noAutofit/>
                        </wps:bodyPr>
                      </wps:wsp>
                      <wps:wsp>
                        <wps:cNvPr id="214" name="Text Box 162"/>
                        <wps:cNvSpPr txBox="1">
                          <a:spLocks noChangeArrowheads="1"/>
                        </wps:cNvSpPr>
                        <wps:spPr bwMode="auto">
                          <a:xfrm>
                            <a:off x="1" y="524341"/>
                            <a:ext cx="622319"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65886" w14:textId="77777777" w:rsidR="000A22B8" w:rsidRPr="004472A2" w:rsidRDefault="000A22B8" w:rsidP="00B30D84">
                              <w:r w:rsidRPr="000F714A">
                                <w:t>Δ</w:t>
                              </w:r>
                              <w:r w:rsidRPr="004472A2">
                                <w:rPr>
                                  <w:i/>
                                </w:rPr>
                                <w:t>w</w:t>
                              </w:r>
                              <w:r w:rsidRPr="004472A2">
                                <w:t>(</w:t>
                              </w:r>
                              <w:r w:rsidRPr="000F714A">
                                <w:rPr>
                                  <w:i/>
                                </w:rPr>
                                <w:t>i</w:t>
                              </w:r>
                              <w:r w:rsidRPr="004472A2">
                                <w:rPr>
                                  <w:i/>
                                </w:rPr>
                                <w:t>,</w:t>
                              </w:r>
                              <w:r>
                                <w:rPr>
                                  <w:i/>
                                </w:rPr>
                                <w:t>j</w:t>
                              </w:r>
                              <w:r w:rsidRPr="004472A2">
                                <w:t>) =</w:t>
                              </w:r>
                            </w:p>
                          </w:txbxContent>
                        </wps:txbx>
                        <wps:bodyPr rot="0" vert="horz" wrap="square" lIns="18000" tIns="0" rIns="18000" bIns="0" anchor="t" anchorCtr="0" upright="1">
                          <a:noAutofit/>
                        </wps:bodyPr>
                      </wps:wsp>
                      <wps:wsp>
                        <wps:cNvPr id="215" name="Text Box 163"/>
                        <wps:cNvSpPr txBox="1">
                          <a:spLocks noChangeArrowheads="1"/>
                        </wps:cNvSpPr>
                        <wps:spPr bwMode="auto">
                          <a:xfrm>
                            <a:off x="863741" y="38325"/>
                            <a:ext cx="396816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EE5EB" w14:textId="77777777" w:rsidR="000A22B8" w:rsidRPr="004472A2" w:rsidRDefault="000A22B8" w:rsidP="00B30D84">
                              <w:pPr>
                                <w:rPr>
                                  <w:i/>
                                  <w:lang w:val="fr-FR"/>
                                </w:rPr>
                              </w:pPr>
                              <w:r w:rsidRPr="00C74840">
                                <w:t>+</w:t>
                              </w:r>
                              <w:r w:rsidRPr="004472A2">
                                <w:t>Δ</w:t>
                              </w:r>
                              <w:r w:rsidRPr="004472A2">
                                <w:rPr>
                                  <w:i/>
                                  <w:lang w:val="fr-FR"/>
                                </w:rPr>
                                <w:t xml:space="preserve">  </w:t>
                              </w:r>
                              <w:r w:rsidRPr="004472A2">
                                <w:rPr>
                                  <w:i/>
                                  <w:lang w:val="fr-FR"/>
                                </w:rPr>
                                <w:tab/>
                                <w:t xml:space="preserve">if </w:t>
                              </w:r>
                              <w:r w:rsidRPr="000F714A">
                                <w:rPr>
                                  <w:i/>
                                </w:rPr>
                                <w:sym w:font="Symbol" w:char="F077"/>
                              </w:r>
                              <w:r w:rsidRPr="00C74840">
                                <w:rPr>
                                  <w:i/>
                                  <w:color w:val="FFFFFF"/>
                                  <w:sz w:val="8"/>
                                </w:rPr>
                                <w:t>.</w:t>
                              </w:r>
                              <w:r w:rsidRPr="00C74840">
                                <w:rPr>
                                  <w:i/>
                                  <w:vertAlign w:val="subscript"/>
                                </w:rPr>
                                <w:t>E</w:t>
                              </w:r>
                              <w:r w:rsidRPr="00C74840">
                                <w:t>(</w:t>
                              </w:r>
                              <w:proofErr w:type="spellStart"/>
                              <w:r w:rsidRPr="00C74840">
                                <w:rPr>
                                  <w:i/>
                                </w:rPr>
                                <w:t>i,t</w:t>
                              </w:r>
                              <w:proofErr w:type="spellEnd"/>
                              <w:r w:rsidRPr="00C74840">
                                <w:t>)</w:t>
                              </w:r>
                              <w:r w:rsidRPr="004472A2">
                                <w:sym w:font="Symbol" w:char="F0B3"/>
                              </w:r>
                              <w:r w:rsidRPr="004472A2">
                                <w:rPr>
                                  <w:i/>
                                  <w:lang w:val="fr-FR"/>
                                </w:rPr>
                                <w:t xml:space="preserve"> </w:t>
                              </w:r>
                              <w:r w:rsidRPr="004472A2">
                                <w:rPr>
                                  <w:i/>
                                </w:rPr>
                                <w:t>θ</w:t>
                              </w:r>
                              <w:proofErr w:type="spellStart"/>
                              <w:r w:rsidRPr="004472A2">
                                <w:rPr>
                                  <w:i/>
                                  <w:vertAlign w:val="subscript"/>
                                  <w:lang w:val="fr-FR"/>
                                </w:rPr>
                                <w:t>pre</w:t>
                              </w:r>
                              <w:proofErr w:type="spellEnd"/>
                              <w:r w:rsidRPr="004472A2">
                                <w:rPr>
                                  <w:i/>
                                  <w:lang w:val="fr-FR"/>
                                </w:rPr>
                                <w:t xml:space="preserve"> and</w:t>
                              </w:r>
                              <w:r w:rsidRPr="004472A2">
                                <w:rPr>
                                  <w:lang w:val="fr-FR"/>
                                </w:rPr>
                                <w:t xml:space="preserve"> </w:t>
                              </w:r>
                              <w:r w:rsidRPr="004472A2">
                                <w:rPr>
                                  <w:i/>
                                  <w:lang w:val="fr-FR"/>
                                </w:rPr>
                                <w:t>V</w:t>
                              </w:r>
                              <w:r w:rsidRPr="004472A2">
                                <w:rPr>
                                  <w:lang w:val="fr-FR"/>
                                </w:rPr>
                                <w:t>(</w:t>
                              </w:r>
                              <w:r>
                                <w:rPr>
                                  <w:i/>
                                  <w:lang w:val="fr-FR"/>
                                </w:rPr>
                                <w:t>j</w:t>
                              </w:r>
                              <w:r w:rsidRPr="004472A2">
                                <w:rPr>
                                  <w:i/>
                                  <w:lang w:val="fr-FR"/>
                                </w:rPr>
                                <w:t>,t</w:t>
                              </w:r>
                              <w:r w:rsidRPr="004472A2">
                                <w:rPr>
                                  <w:lang w:val="fr-FR"/>
                                </w:rPr>
                                <w:t xml:space="preserve">) </w:t>
                              </w:r>
                              <w:r w:rsidRPr="004472A2">
                                <w:sym w:font="Symbol" w:char="F0B3"/>
                              </w:r>
                              <w:r w:rsidRPr="004472A2">
                                <w:rPr>
                                  <w:lang w:val="fr-FR"/>
                                </w:rPr>
                                <w:t xml:space="preserve"> </w:t>
                              </w:r>
                              <w:r w:rsidRPr="004472A2">
                                <w:rPr>
                                  <w:i/>
                                </w:rPr>
                                <w:t>θ</w:t>
                              </w:r>
                              <w:r w:rsidRPr="004472A2">
                                <w:rPr>
                                  <w:vertAlign w:val="subscript"/>
                                  <w:lang w:val="fr-FR"/>
                                </w:rPr>
                                <w:t>+</w:t>
                              </w:r>
                              <w:r w:rsidRPr="004472A2">
                                <w:rPr>
                                  <w:i/>
                                  <w:lang w:val="fr-FR"/>
                                </w:rPr>
                                <w:t xml:space="preserve"> </w:t>
                              </w:r>
                              <w:r>
                                <w:rPr>
                                  <w:i/>
                                  <w:lang w:val="fr-FR"/>
                                </w:rPr>
                                <w:t xml:space="preserve">        </w:t>
                              </w:r>
                              <w:r w:rsidRPr="000F714A">
                                <w:rPr>
                                  <w:rFonts w:ascii="Helvetica" w:hAnsi="Helvetica"/>
                                  <w:i/>
                                  <w:lang w:val="fr-FR"/>
                                </w:rPr>
                                <w:t>(LTP)</w:t>
                              </w:r>
                              <w:r w:rsidRPr="000F714A">
                                <w:rPr>
                                  <w:rFonts w:ascii="Helvetica" w:hAnsi="Helvetica"/>
                                  <w:i/>
                                  <w:lang w:val="fr-FR"/>
                                </w:rPr>
                                <w:tab/>
                              </w:r>
                              <w:r w:rsidRPr="004472A2">
                                <w:rPr>
                                  <w:i/>
                                  <w:lang w:val="fr-FR"/>
                                </w:rPr>
                                <w:t xml:space="preserve">        </w:t>
                              </w:r>
                            </w:p>
                          </w:txbxContent>
                        </wps:txbx>
                        <wps:bodyPr rot="0" vert="horz" wrap="square" lIns="0" tIns="0" rIns="0" bIns="0" anchor="t" anchorCtr="0" upright="1">
                          <a:noAutofit/>
                        </wps:bodyPr>
                      </wps:wsp>
                      <wps:wsp>
                        <wps:cNvPr id="216" name="Text Box 165"/>
                        <wps:cNvSpPr txBox="1">
                          <a:spLocks noChangeArrowheads="1"/>
                        </wps:cNvSpPr>
                        <wps:spPr bwMode="auto">
                          <a:xfrm>
                            <a:off x="844901" y="332512"/>
                            <a:ext cx="4006644"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74F06" w14:textId="77777777" w:rsidR="000A22B8" w:rsidRPr="004472A2" w:rsidRDefault="000A22B8" w:rsidP="00B30D84">
                              <w:pPr>
                                <w:rPr>
                                  <w:lang w:val="fr-FR"/>
                                </w:rPr>
                              </w:pPr>
                              <w:r w:rsidRPr="004472A2">
                                <w:sym w:font="Symbol" w:char="F02D"/>
                              </w:r>
                              <w:r w:rsidRPr="004472A2">
                                <w:t>Δ</w:t>
                              </w:r>
                              <w:r w:rsidRPr="004472A2">
                                <w:rPr>
                                  <w:lang w:val="fr-FR"/>
                                </w:rPr>
                                <w:t xml:space="preserve"> </w:t>
                              </w:r>
                              <w:r>
                                <w:rPr>
                                  <w:lang w:val="fr-FR"/>
                                </w:rPr>
                                <w:tab/>
                              </w:r>
                              <w:r w:rsidRPr="004472A2">
                                <w:rPr>
                                  <w:i/>
                                  <w:lang w:val="fr-FR"/>
                                </w:rPr>
                                <w:t>if</w:t>
                              </w:r>
                              <w:r w:rsidRPr="004472A2">
                                <w:rPr>
                                  <w:lang w:val="fr-FR"/>
                                </w:rPr>
                                <w:t xml:space="preserve"> </w:t>
                              </w:r>
                              <w:r w:rsidRPr="000F714A">
                                <w:rPr>
                                  <w:i/>
                                </w:rPr>
                                <w:sym w:font="Symbol" w:char="F077"/>
                              </w:r>
                              <w:r w:rsidRPr="00C74840">
                                <w:rPr>
                                  <w:i/>
                                  <w:color w:val="FFFFFF"/>
                                  <w:sz w:val="4"/>
                                </w:rPr>
                                <w:t>.</w:t>
                              </w:r>
                              <w:r w:rsidRPr="00C74840">
                                <w:rPr>
                                  <w:i/>
                                  <w:vertAlign w:val="subscript"/>
                                </w:rPr>
                                <w:t>E</w:t>
                              </w:r>
                              <w:r w:rsidRPr="00C74840">
                                <w:t>(</w:t>
                              </w:r>
                              <w:proofErr w:type="spellStart"/>
                              <w:r w:rsidRPr="00C74840">
                                <w:rPr>
                                  <w:i/>
                                </w:rPr>
                                <w:t>i,t</w:t>
                              </w:r>
                              <w:proofErr w:type="spellEnd"/>
                              <w:r w:rsidRPr="00C74840">
                                <w:t>)</w:t>
                              </w:r>
                              <w:r w:rsidRPr="004472A2">
                                <w:sym w:font="Symbol" w:char="F0B3"/>
                              </w:r>
                              <w:r w:rsidRPr="004472A2">
                                <w:rPr>
                                  <w:i/>
                                  <w:lang w:val="fr-FR"/>
                                </w:rPr>
                                <w:t xml:space="preserve"> </w:t>
                              </w:r>
                              <w:r w:rsidRPr="004472A2">
                                <w:rPr>
                                  <w:i/>
                                </w:rPr>
                                <w:t>θ</w:t>
                              </w:r>
                              <w:proofErr w:type="spellStart"/>
                              <w:r w:rsidRPr="004472A2">
                                <w:rPr>
                                  <w:i/>
                                  <w:vertAlign w:val="subscript"/>
                                  <w:lang w:val="fr-FR"/>
                                </w:rPr>
                                <w:t>pre</w:t>
                              </w:r>
                              <w:proofErr w:type="spellEnd"/>
                              <w:r w:rsidRPr="004472A2">
                                <w:rPr>
                                  <w:i/>
                                  <w:lang w:val="fr-FR"/>
                                </w:rPr>
                                <w:t xml:space="preserve"> and</w:t>
                              </w:r>
                              <w:r w:rsidRPr="004472A2">
                                <w:rPr>
                                  <w:lang w:val="fr-FR"/>
                                </w:rPr>
                                <w:t xml:space="preserve"> </w:t>
                              </w:r>
                              <w:r w:rsidRPr="004472A2">
                                <w:rPr>
                                  <w:i/>
                                </w:rPr>
                                <w:t>θ</w:t>
                              </w:r>
                              <w:r w:rsidRPr="004472A2">
                                <w:rPr>
                                  <w:vertAlign w:val="subscript"/>
                                </w:rPr>
                                <w:sym w:font="Symbol" w:char="F02D"/>
                              </w:r>
                              <w:r w:rsidRPr="004472A2">
                                <w:rPr>
                                  <w:vertAlign w:val="subscript"/>
                                  <w:lang w:val="fr-FR"/>
                                </w:rPr>
                                <w:t xml:space="preserve"> </w:t>
                              </w:r>
                              <w:r w:rsidRPr="004472A2">
                                <w:rPr>
                                  <w:i/>
                                  <w:lang w:val="fr-FR"/>
                                </w:rPr>
                                <w:t>≤</w:t>
                              </w:r>
                              <w:r w:rsidRPr="004472A2">
                                <w:rPr>
                                  <w:vertAlign w:val="subscript"/>
                                  <w:lang w:val="fr-FR"/>
                                </w:rPr>
                                <w:t xml:space="preserve"> </w:t>
                              </w:r>
                              <w:r w:rsidRPr="004472A2">
                                <w:rPr>
                                  <w:i/>
                                  <w:lang w:val="fr-FR"/>
                                </w:rPr>
                                <w:t>V</w:t>
                              </w:r>
                              <w:r w:rsidRPr="004472A2">
                                <w:rPr>
                                  <w:lang w:val="fr-FR"/>
                                </w:rPr>
                                <w:t>(</w:t>
                              </w:r>
                              <w:proofErr w:type="spellStart"/>
                              <w:r w:rsidRPr="004472A2">
                                <w:rPr>
                                  <w:i/>
                                  <w:lang w:val="fr-FR"/>
                                </w:rPr>
                                <w:t>y,t</w:t>
                              </w:r>
                              <w:proofErr w:type="spellEnd"/>
                              <w:r w:rsidRPr="004472A2">
                                <w:rPr>
                                  <w:lang w:val="fr-FR"/>
                                </w:rPr>
                                <w:t xml:space="preserve">) &lt; </w:t>
                              </w:r>
                              <w:r w:rsidRPr="004472A2">
                                <w:rPr>
                                  <w:i/>
                                </w:rPr>
                                <w:t>θ</w:t>
                              </w:r>
                              <w:r w:rsidRPr="004472A2">
                                <w:rPr>
                                  <w:vertAlign w:val="subscript"/>
                                  <w:lang w:val="fr-FR"/>
                                </w:rPr>
                                <w:t>+</w:t>
                              </w:r>
                              <w:r w:rsidRPr="004472A2">
                                <w:rPr>
                                  <w:i/>
                                  <w:lang w:val="fr-FR"/>
                                </w:rPr>
                                <w:t xml:space="preserve">  </w:t>
                              </w:r>
                              <w:r w:rsidRPr="000F714A">
                                <w:rPr>
                                  <w:rFonts w:ascii="Helvetica" w:hAnsi="Helvetica"/>
                                  <w:i/>
                                  <w:lang w:val="fr-FR"/>
                                </w:rPr>
                                <w:t>(homosynaptic LTD)</w:t>
                              </w:r>
                              <w:r w:rsidRPr="000F714A">
                                <w:rPr>
                                  <w:i/>
                                  <w:lang w:val="fr-FR"/>
                                </w:rPr>
                                <w:tab/>
                              </w:r>
                            </w:p>
                          </w:txbxContent>
                        </wps:txbx>
                        <wps:bodyPr rot="0" vert="horz" wrap="square" lIns="0" tIns="0" rIns="0" bIns="0" anchor="t" anchorCtr="0" upright="1">
                          <a:noAutofit/>
                        </wps:bodyPr>
                      </wps:wsp>
                      <wps:wsp>
                        <wps:cNvPr id="218" name="Text Box 165"/>
                        <wps:cNvSpPr txBox="1">
                          <a:spLocks noChangeArrowheads="1"/>
                        </wps:cNvSpPr>
                        <wps:spPr bwMode="auto">
                          <a:xfrm>
                            <a:off x="844845" y="633049"/>
                            <a:ext cx="4006121"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F6D2D" w14:textId="77777777" w:rsidR="000A22B8" w:rsidRPr="00C74840" w:rsidRDefault="000A22B8" w:rsidP="00B30D84">
                              <w:r w:rsidRPr="004472A2">
                                <w:sym w:font="Symbol" w:char="F02D"/>
                              </w:r>
                              <w:r w:rsidRPr="004472A2">
                                <w:t>Δ</w:t>
                              </w:r>
                              <w:r w:rsidRPr="00C74840">
                                <w:t xml:space="preserve">  </w:t>
                              </w:r>
                              <w:r w:rsidRPr="00C74840">
                                <w:tab/>
                              </w:r>
                              <w:r w:rsidRPr="00C74840">
                                <w:rPr>
                                  <w:i/>
                                </w:rPr>
                                <w:t>if</w:t>
                              </w:r>
                              <w:r w:rsidRPr="00C74840">
                                <w:t xml:space="preserve"> </w:t>
                              </w:r>
                              <w:r w:rsidRPr="000F714A">
                                <w:rPr>
                                  <w:i/>
                                </w:rPr>
                                <w:sym w:font="Symbol" w:char="F077"/>
                              </w:r>
                              <w:r w:rsidRPr="00C74840">
                                <w:rPr>
                                  <w:i/>
                                  <w:color w:val="FFFFFF"/>
                                  <w:sz w:val="4"/>
                                </w:rPr>
                                <w:t>.</w:t>
                              </w:r>
                              <w:r w:rsidRPr="00C74840">
                                <w:rPr>
                                  <w:i/>
                                  <w:vertAlign w:val="subscript"/>
                                </w:rPr>
                                <w:t>E</w:t>
                              </w:r>
                              <w:r w:rsidRPr="00C74840">
                                <w:t>(</w:t>
                              </w:r>
                              <w:proofErr w:type="spellStart"/>
                              <w:r w:rsidRPr="00C74840">
                                <w:rPr>
                                  <w:i/>
                                </w:rPr>
                                <w:t>i,t</w:t>
                              </w:r>
                              <w:proofErr w:type="spellEnd"/>
                              <w:r w:rsidRPr="00C74840">
                                <w:t>)&lt;</w:t>
                              </w:r>
                              <w:r w:rsidRPr="00C74840">
                                <w:rPr>
                                  <w:i/>
                                </w:rPr>
                                <w:t xml:space="preserve"> </w:t>
                              </w:r>
                              <w:r w:rsidRPr="004472A2">
                                <w:rPr>
                                  <w:i/>
                                </w:rPr>
                                <w:t>θ</w:t>
                              </w:r>
                              <w:r w:rsidRPr="00C74840">
                                <w:rPr>
                                  <w:i/>
                                  <w:vertAlign w:val="subscript"/>
                                </w:rPr>
                                <w:t>pre</w:t>
                              </w:r>
                              <w:r w:rsidRPr="00C74840">
                                <w:rPr>
                                  <w:i/>
                                </w:rPr>
                                <w:t xml:space="preserve"> and</w:t>
                              </w:r>
                              <w:r w:rsidRPr="00C74840">
                                <w:t xml:space="preserve"> </w:t>
                              </w:r>
                              <w:r w:rsidRPr="00C74840">
                                <w:rPr>
                                  <w:vertAlign w:val="subscript"/>
                                </w:rPr>
                                <w:t xml:space="preserve"> </w:t>
                              </w:r>
                              <w:r w:rsidRPr="00C74840">
                                <w:rPr>
                                  <w:i/>
                                </w:rPr>
                                <w:t>V</w:t>
                              </w:r>
                              <w:r w:rsidRPr="00C74840">
                                <w:t>(</w:t>
                              </w:r>
                              <w:proofErr w:type="spellStart"/>
                              <w:r w:rsidRPr="00C74840">
                                <w:rPr>
                                  <w:i/>
                                </w:rPr>
                                <w:t>y,t</w:t>
                              </w:r>
                              <w:proofErr w:type="spellEnd"/>
                              <w:r w:rsidRPr="00C74840">
                                <w:t xml:space="preserve">) ≥ </w:t>
                              </w:r>
                              <w:r w:rsidRPr="004472A2">
                                <w:rPr>
                                  <w:i/>
                                </w:rPr>
                                <w:t>θ</w:t>
                              </w:r>
                              <w:r w:rsidRPr="00C74840">
                                <w:rPr>
                                  <w:vertAlign w:val="subscript"/>
                                </w:rPr>
                                <w:t>+</w:t>
                              </w:r>
                              <w:r w:rsidRPr="00C74840">
                                <w:rPr>
                                  <w:i/>
                                </w:rPr>
                                <w:t xml:space="preserve">        </w:t>
                              </w:r>
                              <w:r w:rsidRPr="00C74840">
                                <w:rPr>
                                  <w:rFonts w:ascii="Helvetica" w:hAnsi="Helvetica"/>
                                  <w:i/>
                                </w:rPr>
                                <w:t>(heterosynaptic LTD)</w:t>
                              </w:r>
                              <w:r w:rsidRPr="00C74840">
                                <w:rPr>
                                  <w:i/>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621C9AE" id="Group 210" o:spid="_x0000_s1036" style="position:absolute;left:0;text-align:left;margin-left:37.5pt;margin-top:4.8pt;width:417.95pt;height:93.5pt;z-index:251662336;mso-width-relative:margin" coordorigin=",127" coordsize="53087,11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3tAzwQAAK4bAAAOAAAAZHJzL2Uyb0RvYy54bWzsmdtu4zYQQN8L9B8IvTsWJeqKKIvEl6BA&#13;&#10;2i6wux9A695KokrKkbNF/71D6mLZyRbZBEjq1n6QKZEiZ4ZzZkbS5YddWaD7mIucVYGGL3QNxVXI&#13;&#10;orxKA+3L5/XM1ZBoaBXRglVxoD3EQvtw9eMPl23txwbLWBHFHMEklfDbOtCypqn9+VyEWVxSccHq&#13;&#10;uILOhPGSNnDK03nEaQuzl8Xc0HV73jIe1ZyFsRBwddl1aldq/iSJw+bXJBFxg4pAA9kadeTquJHH&#13;&#10;+dUl9VNO6ywPezHoC6QoaV7BouNUS9pQtOX5o6nKPORMsKS5CFk5Z0mSh7HSAbTB+pE2t5xta6VL&#13;&#10;6rdpPZoJTHtkpxdPG/5y/5GjPAo0A4N9KlrCJql1kbwA5mnr1IdRt7z+VH/knY7QvGPh7wK658f9&#13;&#10;8jzdD94lvJQ3gapop+z+MNo93jUohIuWqTuebWkohD6MXYdY/c6EGWyfvA9rSPYZjj72rPZ3u44N&#13;&#10;wh/dPad+t7gScRSprcHTxN6Y4nXG/JTROlZ7JKSZRmOCwJ0xr7cNU4MQtrzOoGrkYE0xNeWkR8op&#13;&#10;wOJo0/7MItgVChMpHzsyqW15lmUc22ewLcam/YRpR+NQv+aiuY1ZiWQj0Io4aW44DaVS1Kf3d6JR&#13;&#10;mx71+tDoN9AtKQvg5J4WyHV0y+05mowBgfZjLB1+cgws288IrWFhOX3F1nlRKBqLCrWB5lmGpSQQ&#13;&#10;rMgj2SmHCZ5uFgVHsDB4kfr10x4MA26qSE2WxTRa9e2G5kXXhsWLSs4HVur1k/ZSwP7p6d7KXblk&#13;&#10;Rgx7NSP6cjm7Xi/IzF5jx1qay8Viif+SomHiZ3kUxZWUbggemDzPn/ow1mE/ho8DLQ6UXavfY2Xn&#13;&#10;h2IoE4Muw7/SDgDofEnSLPwNix7ArzjroiFEb2hkjH/VUAuRMNDEH1vKYw0VP1VAh4cJkaFTnRDL&#13;&#10;MeCET3s20x5ahTBVoDUa6pqLpgu325rnaQYrYbWtFZNgJHnTxZBBKhVQFKCdrG9AKnhqR+pn6QM3&#13;&#10;bIcwRBMQS9oKkJagomYHHYPsPbKoYouMVml8zTlrpaeBtbDaosmt3TzPItkzdMeGhAmRDtzftFW4&#13;&#10;UE6qwiSIZdsySqtA5wHZVu8PQ0QYiOpR5pD+9hRLQx9C9/3eNnAz4vrPJGGD6DeGN1vbrjMja2LN&#13;&#10;PEd3Zzr2bjxbJx5Zrg9Jusur+PUkvTp+lHkDVUmRl4HmjkGG+t8KJmMgkOIP5A3/TxHY7DY7lXRV&#13;&#10;4HwBkyOPI4vQ6DiExukxaD7BoCJpAtLbMEg8x7WsrtwgNlQltmRsD6Fp6qpS6hjUia76AYMzg1U6&#13;&#10;yWanw+BYlH1nXvyvMUieYNB4lzzY0WcZxCQqCOzpsw3DxF6fAV3DdYeq8kzfidI3PGQOBeCzy1Is&#13;&#10;M/NQlkKjK0n7qyecCuEx+FE5ar4Lhq5tOgCgLEdN14THscNE6NmuLJT7alSHZzw54JwJ1eupk8yE&#13;&#10;eCy5/uep0H6CQeX+b16OuoR4es8gIIhVQt7nQwKvQG0CmbsvR88Qqheqj1+unE452m3x+ZkQw4uQ&#13;&#10;R4nw3SB0CeRlSIQ2PP+Ro/cyEkJsAKRnCKdfNU4awrHi+rdmQvVRAz4KqYqr/4AlvzpNz6E9/cx2&#13;&#10;9TcAAAD//wMAUEsDBBQABgAIAAAAIQCKSKI75AAAAA0BAAAPAAAAZHJzL2Rvd25yZXYueG1sTI/N&#13;&#10;asMwEITvhb6D2EBvjeyWuLVjOYT05xQKTQolN8Xa2CbWyliK7bx9t6f2srDM7Ox8+WqyrRiw940j&#13;&#10;BfE8AoFUOtNQpeBr/3b/DMIHTUa3jlDBFT2situbXGfGjfSJwy5UgkPIZ1pBHUKXSenLGq32c9ch&#13;&#10;sXZyvdWB176Sptcjh9tWPkRRIq1uiD/UusNNjeV5d7EK3kc9rh/j12F7Pm2uh/3i43sbo1J3s+ll&#13;&#10;yWO9BBFwCn8X8MvA/aHgYkd3IeNFq+BpwTxBQZqAYDmNoxTEkX1pkoAscvmfovgBAAD//wMAUEsB&#13;&#10;Ai0AFAAGAAgAAAAhALaDOJL+AAAA4QEAABMAAAAAAAAAAAAAAAAAAAAAAFtDb250ZW50X1R5cGVz&#13;&#10;XS54bWxQSwECLQAUAAYACAAAACEAOP0h/9YAAACUAQAACwAAAAAAAAAAAAAAAAAvAQAAX3JlbHMv&#13;&#10;LnJlbHNQSwECLQAUAAYACAAAACEAS697QM8EAACuGwAADgAAAAAAAAAAAAAAAAAuAgAAZHJzL2Uy&#13;&#10;b0RvYy54bWxQSwECLQAUAAYACAAAACEAikiiO+QAAAANAQAADwAAAAAAAAAAAAAAAAApBwAAZHJz&#13;&#10;L2Rvd25yZXYueG1sUEsFBgAAAAAEAAQA8wAAADoIAAAAAA==&#13;&#10;">
                <v:shape id="AutoShape 159" o:spid="_x0000_s1037" type="#_x0000_t87" style="position:absolute;left:6595;top:127;width:1137;height:11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Dk/ygAAAOEAAAAPAAAAZHJzL2Rvd25yZXYueG1sRI9Pa8JA&#13;&#10;FMTvhX6H5RW8lLpZD6VEN0Esgnpo8U89P7LPJJh9m2ZXjX56t1DwMjAM8xtmkve2EWfqfO1Ygxom&#13;&#10;IIgLZ2ouNey287cPED4gG2wck4Yreciz56cJpsZdeE3nTShFhLBPUUMVQptK6YuKLPqha4ljdnCd&#13;&#10;xRBtV0rT4SXCbSNHSfIuLdYcFypsaVZRcdycrIbwo76K/uZ+cb7cJwv1ulp/H1daD176z3GU6RhE&#13;&#10;oD48Gv+IhdEwUgr+HsU3ILM7AAAA//8DAFBLAQItABQABgAIAAAAIQDb4fbL7gAAAIUBAAATAAAA&#13;&#10;AAAAAAAAAAAAAAAAAABbQ29udGVudF9UeXBlc10ueG1sUEsBAi0AFAAGAAgAAAAhAFr0LFu/AAAA&#13;&#10;FQEAAAsAAAAAAAAAAAAAAAAAHwEAAF9yZWxzLy5yZWxzUEsBAi0AFAAGAAgAAAAhAGdEOT/KAAAA&#13;&#10;4QAAAA8AAAAAAAAAAAAAAAAABwIAAGRycy9kb3ducmV2LnhtbFBLBQYAAAAAAwADALcAAAD+AgAA&#13;&#10;AAA=&#13;&#10;"/>
                <v:shapetype id="_x0000_t202" coordsize="21600,21600" o:spt="202" path="m,l,21600r21600,l21600,xe">
                  <v:stroke joinstyle="miter"/>
                  <v:path gradientshapeok="t" o:connecttype="rect"/>
                </v:shapetype>
                <v:shape id="Text Box 160" o:spid="_x0000_s1038" type="#_x0000_t202" style="position:absolute;left:9207;top:9523;width:16066;height:1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On8yAAAAOEAAAAPAAAAZHJzL2Rvd25yZXYueG1sRI9Pi8Iw&#13;&#10;FMTvC36H8IS9LJragyzVKGpd8LAe/IPnR/Nsi81LSaKt394sCHsZGIb5DTNf9qYRD3K+tqxgMk5A&#13;&#10;EBdW11wqOJ9+Rt8gfEDW2FgmBU/ysFwMPuaYadvxgR7HUIoIYZ+hgiqENpPSFxUZ9GPbEsfsap3B&#13;&#10;EK0rpXbYRbhpZJokU2mw5rhQYUubiorb8W4UTHN37w68+crP21/ct2V6WT8vSn0O+3wWZTUDEagP&#13;&#10;/403YqcVpJMU/h7FNyAXLwAAAP//AwBQSwECLQAUAAYACAAAACEA2+H2y+4AAACFAQAAEwAAAAAA&#13;&#10;AAAAAAAAAAAAAAAAW0NvbnRlbnRfVHlwZXNdLnhtbFBLAQItABQABgAIAAAAIQBa9CxbvwAAABUB&#13;&#10;AAALAAAAAAAAAAAAAAAAAB8BAABfcmVscy8ucmVsc1BLAQItABQABgAIAAAAIQAdmOn8yAAAAOEA&#13;&#10;AAAPAAAAAAAAAAAAAAAAAAcCAABkcnMvZG93bnJldi54bWxQSwUGAAAAAAMAAwC3AAAA/AIAAAAA&#13;&#10;" stroked="f">
                  <v:textbox inset="0,0,0,0">
                    <w:txbxContent>
                      <w:p w14:paraId="0B4C845B" w14:textId="77777777" w:rsidR="000A22B8" w:rsidRPr="000F714A" w:rsidRDefault="000A22B8" w:rsidP="00B30D84">
                        <w:r>
                          <w:t>0</w:t>
                        </w:r>
                        <w:r w:rsidRPr="004472A2">
                          <w:tab/>
                          <w:t xml:space="preserve">    </w:t>
                        </w:r>
                        <w:r w:rsidRPr="000F714A">
                          <w:rPr>
                            <w:rFonts w:ascii="Helvetica" w:hAnsi="Helvetica"/>
                          </w:rPr>
                          <w:t xml:space="preserve"> </w:t>
                        </w:r>
                        <w:r>
                          <w:rPr>
                            <w:rFonts w:ascii="Helvetica" w:hAnsi="Helvetica"/>
                          </w:rPr>
                          <w:t xml:space="preserve">   </w:t>
                        </w:r>
                        <w:r w:rsidRPr="000F714A">
                          <w:rPr>
                            <w:i/>
                          </w:rPr>
                          <w:t xml:space="preserve">otherwise </w:t>
                        </w:r>
                      </w:p>
                    </w:txbxContent>
                  </v:textbox>
                </v:shape>
                <v:shape id="Text Box 161" o:spid="_x0000_s1039" type="#_x0000_t202" style="position:absolute;left:49785;top:4696;width:3302;height:1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ExnyAAAAOEAAAAPAAAAZHJzL2Rvd25yZXYueG1sRI9Ba8JA&#13;&#10;FITvhf6H5RV6KXVjCiLRVdRY8GAPUfH8yL4mwezbsLua+O/dgtDLwDDMN8x8OZhW3Mj5xrKC8SgB&#13;&#10;QVxa3XCl4HT8/pyC8AFZY2uZFNzJw3Lx+jLHTNueC7odQiUihH2GCuoQukxKX9Zk0I9sRxyzX+sM&#13;&#10;hmhdJbXDPsJNK9MkmUiDDceFGjva1FReDlejYJK7a1/w5iM/bff401XpeX0/K/X+NuSzKKsZiEBD&#13;&#10;+G88ETutIB1/wd+j+Abk4gEAAP//AwBQSwECLQAUAAYACAAAACEA2+H2y+4AAACFAQAAEwAAAAAA&#13;&#10;AAAAAAAAAAAAAAAAW0NvbnRlbnRfVHlwZXNdLnhtbFBLAQItABQABgAIAAAAIQBa9CxbvwAAABUB&#13;&#10;AAALAAAAAAAAAAAAAAAAAB8BAABfcmVscy8ucmVsc1BLAQItABQABgAIAAAAIQBy1ExnyAAAAOEA&#13;&#10;AAAPAAAAAAAAAAAAAAAAAAcCAABkcnMvZG93bnJldi54bWxQSwUGAAAAAAMAAwC3AAAA/AIAAAAA&#13;&#10;" stroked="f">
                  <v:textbox inset="0,0,0,0">
                    <w:txbxContent>
                      <w:p w14:paraId="117E5EC5" w14:textId="77777777" w:rsidR="000A22B8" w:rsidRPr="004472A2" w:rsidRDefault="000A22B8" w:rsidP="00B30D84">
                        <w:pPr>
                          <w:rPr>
                            <w:rFonts w:ascii="Arial" w:hAnsi="Arial" w:cs="Arial"/>
                          </w:rPr>
                        </w:pPr>
                        <w:r w:rsidRPr="004472A2">
                          <w:rPr>
                            <w:rFonts w:ascii="Arial" w:hAnsi="Arial" w:cs="Arial"/>
                          </w:rPr>
                          <w:t>(</w:t>
                        </w:r>
                        <w:r>
                          <w:rPr>
                            <w:rFonts w:ascii="Arial" w:hAnsi="Arial" w:cs="Arial"/>
                          </w:rPr>
                          <w:t>B4</w:t>
                        </w:r>
                        <w:r w:rsidRPr="004472A2">
                          <w:rPr>
                            <w:rFonts w:ascii="Arial" w:hAnsi="Arial" w:cs="Arial"/>
                          </w:rPr>
                          <w:t>)</w:t>
                        </w:r>
                      </w:p>
                    </w:txbxContent>
                  </v:textbox>
                </v:shape>
                <v:shape id="Text Box 162" o:spid="_x0000_s1040" type="#_x0000_t202" style="position:absolute;top:5243;width:6223;height:1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ngXyAAAAOEAAAAPAAAAZHJzL2Rvd25yZXYueG1sRI9Ba8JA&#13;&#10;FITvgv9heYIXaTaGYiVxFVECvTa10uNr9jVJm30bspuY/vtuoeBlYBjmG2Z3mEwrRupdY1nBOopB&#13;&#10;EJdWN1wpuLzmD1sQziNrbC2Tgh9ycNjPZztMtb3xC42Fr0SAsEtRQe19l0rpypoMush2xCH7tL1B&#13;&#10;H2xfSd3jLcBNK5M43kiDDYeFGjs61VR+F4NRYK/Ftvr6kG/daij4KX+/nvBslFoupnMW5JiB8DT5&#13;&#10;e+Mf8awVJOtH+HsU3oDc/wIAAP//AwBQSwECLQAUAAYACAAAACEA2+H2y+4AAACFAQAAEwAAAAAA&#13;&#10;AAAAAAAAAAAAAAAAW0NvbnRlbnRfVHlwZXNdLnhtbFBLAQItABQABgAIAAAAIQBa9CxbvwAAABUB&#13;&#10;AAALAAAAAAAAAAAAAAAAAB8BAABfcmVscy8ucmVsc1BLAQItABQABgAIAAAAIQAC1ngXyAAAAOEA&#13;&#10;AAAPAAAAAAAAAAAAAAAAAAcCAABkcnMvZG93bnJldi54bWxQSwUGAAAAAAMAAwC3AAAA/AIAAAAA&#13;&#10;" stroked="f">
                  <v:textbox inset=".5mm,0,.5mm,0">
                    <w:txbxContent>
                      <w:p w14:paraId="38065886" w14:textId="77777777" w:rsidR="000A22B8" w:rsidRPr="004472A2" w:rsidRDefault="000A22B8" w:rsidP="00B30D84">
                        <w:proofErr w:type="spellStart"/>
                        <w:r w:rsidRPr="000F714A">
                          <w:t>Δ</w:t>
                        </w:r>
                        <w:r w:rsidRPr="004472A2">
                          <w:rPr>
                            <w:i/>
                          </w:rPr>
                          <w:t>w</w:t>
                        </w:r>
                        <w:proofErr w:type="spellEnd"/>
                        <w:r w:rsidRPr="004472A2">
                          <w:t>(</w:t>
                        </w:r>
                        <w:proofErr w:type="spellStart"/>
                        <w:r w:rsidRPr="000F714A">
                          <w:rPr>
                            <w:i/>
                          </w:rPr>
                          <w:t>i</w:t>
                        </w:r>
                        <w:r w:rsidRPr="004472A2">
                          <w:rPr>
                            <w:i/>
                          </w:rPr>
                          <w:t>,</w:t>
                        </w:r>
                        <w:r>
                          <w:rPr>
                            <w:i/>
                          </w:rPr>
                          <w:t>j</w:t>
                        </w:r>
                        <w:proofErr w:type="spellEnd"/>
                        <w:r w:rsidRPr="004472A2">
                          <w:t>) =</w:t>
                        </w:r>
                      </w:p>
                    </w:txbxContent>
                  </v:textbox>
                </v:shape>
                <v:shape id="Text Box 163" o:spid="_x0000_s1041" type="#_x0000_t202" style="position:absolute;left:8637;top:383;width:39682;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XGIyAAAAOEAAAAPAAAAZHJzL2Rvd25yZXYueG1sRI9Ba8JA&#13;&#10;FITvhf6H5RV6KXVjoCLRVdRY8GAPUfH8yL4mwezbsLua+O/dgtDLwDDMN8x8OZhW3Mj5xrKC8SgB&#13;&#10;QVxa3XCl4HT8/pyC8AFZY2uZFNzJw3Lx+jLHTNueC7odQiUihH2GCuoQukxKX9Zk0I9sRxyzX+sM&#13;&#10;hmhdJbXDPsJNK9MkmUiDDceFGjva1FReDlejYJK7a1/w5iM/bff401XpeX0/K/X+NuSzKKsZiEBD&#13;&#10;+G88ETutIB1/wd+j+Abk4gEAAP//AwBQSwECLQAUAAYACAAAACEA2+H2y+4AAACFAQAAEwAAAAAA&#13;&#10;AAAAAAAAAAAAAAAAW0NvbnRlbnRfVHlwZXNdLnhtbFBLAQItABQABgAIAAAAIQBa9CxbvwAAABUB&#13;&#10;AAALAAAAAAAAAAAAAAAAAB8BAABfcmVscy8ucmVsc1BLAQItABQABgAIAAAAIQCScXGIyAAAAOEA&#13;&#10;AAAPAAAAAAAAAAAAAAAAAAcCAABkcnMvZG93bnJldi54bWxQSwUGAAAAAAMAAwC3AAAA/AIAAAAA&#13;&#10;" stroked="f">
                  <v:textbox inset="0,0,0,0">
                    <w:txbxContent>
                      <w:p w14:paraId="667EE5EB" w14:textId="77777777" w:rsidR="000A22B8" w:rsidRPr="004472A2" w:rsidRDefault="000A22B8" w:rsidP="00B30D84">
                        <w:pPr>
                          <w:rPr>
                            <w:i/>
                            <w:lang w:val="fr-FR"/>
                          </w:rPr>
                        </w:pPr>
                        <w:r w:rsidRPr="00C74840">
                          <w:t>+</w:t>
                        </w:r>
                        <w:r w:rsidRPr="004472A2">
                          <w:t>Δ</w:t>
                        </w:r>
                        <w:r w:rsidRPr="004472A2">
                          <w:rPr>
                            <w:i/>
                            <w:lang w:val="fr-FR"/>
                          </w:rPr>
                          <w:t xml:space="preserve">  </w:t>
                        </w:r>
                        <w:r w:rsidRPr="004472A2">
                          <w:rPr>
                            <w:i/>
                            <w:lang w:val="fr-FR"/>
                          </w:rPr>
                          <w:tab/>
                          <w:t xml:space="preserve">if </w:t>
                        </w:r>
                        <w:r w:rsidRPr="000F714A">
                          <w:rPr>
                            <w:i/>
                          </w:rPr>
                          <w:sym w:font="Symbol" w:char="F077"/>
                        </w:r>
                        <w:r w:rsidRPr="00C74840">
                          <w:rPr>
                            <w:i/>
                            <w:color w:val="FFFFFF"/>
                            <w:sz w:val="8"/>
                          </w:rPr>
                          <w:t>.</w:t>
                        </w:r>
                        <w:r w:rsidRPr="00C74840">
                          <w:rPr>
                            <w:i/>
                            <w:vertAlign w:val="subscript"/>
                          </w:rPr>
                          <w:t>E</w:t>
                        </w:r>
                        <w:r w:rsidRPr="00C74840">
                          <w:t>(</w:t>
                        </w:r>
                        <w:proofErr w:type="spellStart"/>
                        <w:r w:rsidRPr="00C74840">
                          <w:rPr>
                            <w:i/>
                          </w:rPr>
                          <w:t>i,t</w:t>
                        </w:r>
                        <w:proofErr w:type="spellEnd"/>
                        <w:r w:rsidRPr="00C74840">
                          <w:t>)</w:t>
                        </w:r>
                        <w:r w:rsidRPr="004472A2">
                          <w:sym w:font="Symbol" w:char="F0B3"/>
                        </w:r>
                        <w:r w:rsidRPr="004472A2">
                          <w:rPr>
                            <w:i/>
                            <w:lang w:val="fr-FR"/>
                          </w:rPr>
                          <w:t xml:space="preserve"> </w:t>
                        </w:r>
                        <w:r w:rsidRPr="004472A2">
                          <w:rPr>
                            <w:i/>
                          </w:rPr>
                          <w:t>θ</w:t>
                        </w:r>
                        <w:proofErr w:type="spellStart"/>
                        <w:r w:rsidRPr="004472A2">
                          <w:rPr>
                            <w:i/>
                            <w:vertAlign w:val="subscript"/>
                            <w:lang w:val="fr-FR"/>
                          </w:rPr>
                          <w:t>pre</w:t>
                        </w:r>
                        <w:proofErr w:type="spellEnd"/>
                        <w:r w:rsidRPr="004472A2">
                          <w:rPr>
                            <w:i/>
                            <w:lang w:val="fr-FR"/>
                          </w:rPr>
                          <w:t xml:space="preserve"> and</w:t>
                        </w:r>
                        <w:r w:rsidRPr="004472A2">
                          <w:rPr>
                            <w:lang w:val="fr-FR"/>
                          </w:rPr>
                          <w:t xml:space="preserve"> </w:t>
                        </w:r>
                        <w:r w:rsidRPr="004472A2">
                          <w:rPr>
                            <w:i/>
                            <w:lang w:val="fr-FR"/>
                          </w:rPr>
                          <w:t>V</w:t>
                        </w:r>
                        <w:r w:rsidRPr="004472A2">
                          <w:rPr>
                            <w:lang w:val="fr-FR"/>
                          </w:rPr>
                          <w:t>(</w:t>
                        </w:r>
                        <w:proofErr w:type="spellStart"/>
                        <w:r>
                          <w:rPr>
                            <w:i/>
                            <w:lang w:val="fr-FR"/>
                          </w:rPr>
                          <w:t>j</w:t>
                        </w:r>
                        <w:r w:rsidRPr="004472A2">
                          <w:rPr>
                            <w:i/>
                            <w:lang w:val="fr-FR"/>
                          </w:rPr>
                          <w:t>,t</w:t>
                        </w:r>
                        <w:proofErr w:type="spellEnd"/>
                        <w:r w:rsidRPr="004472A2">
                          <w:rPr>
                            <w:lang w:val="fr-FR"/>
                          </w:rPr>
                          <w:t xml:space="preserve">) </w:t>
                        </w:r>
                        <w:r w:rsidRPr="004472A2">
                          <w:sym w:font="Symbol" w:char="F0B3"/>
                        </w:r>
                        <w:r w:rsidRPr="004472A2">
                          <w:rPr>
                            <w:lang w:val="fr-FR"/>
                          </w:rPr>
                          <w:t xml:space="preserve"> </w:t>
                        </w:r>
                        <w:r w:rsidRPr="004472A2">
                          <w:rPr>
                            <w:i/>
                          </w:rPr>
                          <w:t>θ</w:t>
                        </w:r>
                        <w:r w:rsidRPr="004472A2">
                          <w:rPr>
                            <w:vertAlign w:val="subscript"/>
                            <w:lang w:val="fr-FR"/>
                          </w:rPr>
                          <w:t>+</w:t>
                        </w:r>
                        <w:r w:rsidRPr="004472A2">
                          <w:rPr>
                            <w:i/>
                            <w:lang w:val="fr-FR"/>
                          </w:rPr>
                          <w:t xml:space="preserve"> </w:t>
                        </w:r>
                        <w:r>
                          <w:rPr>
                            <w:i/>
                            <w:lang w:val="fr-FR"/>
                          </w:rPr>
                          <w:t xml:space="preserve">        </w:t>
                        </w:r>
                        <w:r w:rsidRPr="000F714A">
                          <w:rPr>
                            <w:rFonts w:ascii="Helvetica" w:hAnsi="Helvetica"/>
                            <w:i/>
                            <w:lang w:val="fr-FR"/>
                          </w:rPr>
                          <w:t>(LTP)</w:t>
                        </w:r>
                        <w:r w:rsidRPr="000F714A">
                          <w:rPr>
                            <w:rFonts w:ascii="Helvetica" w:hAnsi="Helvetica"/>
                            <w:i/>
                            <w:lang w:val="fr-FR"/>
                          </w:rPr>
                          <w:tab/>
                        </w:r>
                        <w:r w:rsidRPr="004472A2">
                          <w:rPr>
                            <w:i/>
                            <w:lang w:val="fr-FR"/>
                          </w:rPr>
                          <w:t xml:space="preserve">        </w:t>
                        </w:r>
                      </w:p>
                    </w:txbxContent>
                  </v:textbox>
                </v:shape>
                <v:shape id="Text Box 165" o:spid="_x0000_s1042" type="#_x0000_t202" style="position:absolute;left:8449;top:3325;width:40066;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yAAAAOEAAAAPAAAAZHJzL2Rvd25yZXYueG1sRI9Ba8JA&#13;&#10;FITvhf6H5RW8lLoxh1Ciq1hToQc9GMXzI/uaBLNvw+5q4r/vCkIvA8Mw3zCL1Wg6cSPnW8sKZtME&#13;&#10;BHFldcu1gtNx+/EJwgdkjZ1lUnAnD6vl68sCc20HPtCtDLWIEPY5KmhC6HMpfdWQQT+1PXHMfq0z&#13;&#10;GKJ1tdQOhwg3nUyTJJMGW44LDfa0aai6lFejICvcdTjw5r04fe9w39fp+et+VmryNhbzKOs5iEBj&#13;&#10;+G88ET9aQTrL4PEovgG5/AMAAP//AwBQSwECLQAUAAYACAAAACEA2+H2y+4AAACFAQAAEwAAAAAA&#13;&#10;AAAAAAAAAAAAAAAAW0NvbnRlbnRfVHlwZXNdLnhtbFBLAQItABQABgAIAAAAIQBa9CxbvwAAABUB&#13;&#10;AAALAAAAAAAAAAAAAAAAAB8BAABfcmVscy8ucmVsc1BLAQItABQABgAIAAAAIQBio+//yAAAAOEA&#13;&#10;AAAPAAAAAAAAAAAAAAAAAAcCAABkcnMvZG93bnJldi54bWxQSwUGAAAAAAMAAwC3AAAA/AIAAAAA&#13;&#10;" stroked="f">
                  <v:textbox inset="0,0,0,0">
                    <w:txbxContent>
                      <w:p w14:paraId="2D474F06" w14:textId="77777777" w:rsidR="000A22B8" w:rsidRPr="004472A2" w:rsidRDefault="000A22B8" w:rsidP="00B30D84">
                        <w:pPr>
                          <w:rPr>
                            <w:lang w:val="fr-FR"/>
                          </w:rPr>
                        </w:pPr>
                        <w:r w:rsidRPr="004472A2">
                          <w:sym w:font="Symbol" w:char="F02D"/>
                        </w:r>
                        <w:r w:rsidRPr="004472A2">
                          <w:t>Δ</w:t>
                        </w:r>
                        <w:r w:rsidRPr="004472A2">
                          <w:rPr>
                            <w:lang w:val="fr-FR"/>
                          </w:rPr>
                          <w:t xml:space="preserve"> </w:t>
                        </w:r>
                        <w:r>
                          <w:rPr>
                            <w:lang w:val="fr-FR"/>
                          </w:rPr>
                          <w:tab/>
                        </w:r>
                        <w:r w:rsidRPr="004472A2">
                          <w:rPr>
                            <w:i/>
                            <w:lang w:val="fr-FR"/>
                          </w:rPr>
                          <w:t>if</w:t>
                        </w:r>
                        <w:r w:rsidRPr="004472A2">
                          <w:rPr>
                            <w:lang w:val="fr-FR"/>
                          </w:rPr>
                          <w:t xml:space="preserve"> </w:t>
                        </w:r>
                        <w:r w:rsidRPr="000F714A">
                          <w:rPr>
                            <w:i/>
                          </w:rPr>
                          <w:sym w:font="Symbol" w:char="F077"/>
                        </w:r>
                        <w:r w:rsidRPr="00C74840">
                          <w:rPr>
                            <w:i/>
                            <w:color w:val="FFFFFF"/>
                            <w:sz w:val="4"/>
                          </w:rPr>
                          <w:t>.</w:t>
                        </w:r>
                        <w:r w:rsidRPr="00C74840">
                          <w:rPr>
                            <w:i/>
                            <w:vertAlign w:val="subscript"/>
                          </w:rPr>
                          <w:t>E</w:t>
                        </w:r>
                        <w:r w:rsidRPr="00C74840">
                          <w:t>(</w:t>
                        </w:r>
                        <w:proofErr w:type="spellStart"/>
                        <w:r w:rsidRPr="00C74840">
                          <w:rPr>
                            <w:i/>
                          </w:rPr>
                          <w:t>i,t</w:t>
                        </w:r>
                        <w:proofErr w:type="spellEnd"/>
                        <w:r w:rsidRPr="00C74840">
                          <w:t>)</w:t>
                        </w:r>
                        <w:r w:rsidRPr="004472A2">
                          <w:sym w:font="Symbol" w:char="F0B3"/>
                        </w:r>
                        <w:r w:rsidRPr="004472A2">
                          <w:rPr>
                            <w:i/>
                            <w:lang w:val="fr-FR"/>
                          </w:rPr>
                          <w:t xml:space="preserve"> </w:t>
                        </w:r>
                        <w:r w:rsidRPr="004472A2">
                          <w:rPr>
                            <w:i/>
                          </w:rPr>
                          <w:t>θ</w:t>
                        </w:r>
                        <w:proofErr w:type="spellStart"/>
                        <w:r w:rsidRPr="004472A2">
                          <w:rPr>
                            <w:i/>
                            <w:vertAlign w:val="subscript"/>
                            <w:lang w:val="fr-FR"/>
                          </w:rPr>
                          <w:t>pre</w:t>
                        </w:r>
                        <w:proofErr w:type="spellEnd"/>
                        <w:r w:rsidRPr="004472A2">
                          <w:rPr>
                            <w:i/>
                            <w:lang w:val="fr-FR"/>
                          </w:rPr>
                          <w:t xml:space="preserve"> and</w:t>
                        </w:r>
                        <w:r w:rsidRPr="004472A2">
                          <w:rPr>
                            <w:lang w:val="fr-FR"/>
                          </w:rPr>
                          <w:t xml:space="preserve"> </w:t>
                        </w:r>
                        <w:r w:rsidRPr="004472A2">
                          <w:rPr>
                            <w:i/>
                          </w:rPr>
                          <w:t>θ</w:t>
                        </w:r>
                        <w:r w:rsidRPr="004472A2">
                          <w:rPr>
                            <w:vertAlign w:val="subscript"/>
                          </w:rPr>
                          <w:sym w:font="Symbol" w:char="F02D"/>
                        </w:r>
                        <w:r w:rsidRPr="004472A2">
                          <w:rPr>
                            <w:vertAlign w:val="subscript"/>
                            <w:lang w:val="fr-FR"/>
                          </w:rPr>
                          <w:t xml:space="preserve"> </w:t>
                        </w:r>
                        <w:r w:rsidRPr="004472A2">
                          <w:rPr>
                            <w:i/>
                            <w:lang w:val="fr-FR"/>
                          </w:rPr>
                          <w:t>≤</w:t>
                        </w:r>
                        <w:r w:rsidRPr="004472A2">
                          <w:rPr>
                            <w:vertAlign w:val="subscript"/>
                            <w:lang w:val="fr-FR"/>
                          </w:rPr>
                          <w:t xml:space="preserve"> </w:t>
                        </w:r>
                        <w:r w:rsidRPr="004472A2">
                          <w:rPr>
                            <w:i/>
                            <w:lang w:val="fr-FR"/>
                          </w:rPr>
                          <w:t>V</w:t>
                        </w:r>
                        <w:r w:rsidRPr="004472A2">
                          <w:rPr>
                            <w:lang w:val="fr-FR"/>
                          </w:rPr>
                          <w:t>(</w:t>
                        </w:r>
                        <w:proofErr w:type="spellStart"/>
                        <w:r w:rsidRPr="004472A2">
                          <w:rPr>
                            <w:i/>
                            <w:lang w:val="fr-FR"/>
                          </w:rPr>
                          <w:t>y,t</w:t>
                        </w:r>
                        <w:proofErr w:type="spellEnd"/>
                        <w:r w:rsidRPr="004472A2">
                          <w:rPr>
                            <w:lang w:val="fr-FR"/>
                          </w:rPr>
                          <w:t xml:space="preserve">) &lt; </w:t>
                        </w:r>
                        <w:r w:rsidRPr="004472A2">
                          <w:rPr>
                            <w:i/>
                          </w:rPr>
                          <w:t>θ</w:t>
                        </w:r>
                        <w:r w:rsidRPr="004472A2">
                          <w:rPr>
                            <w:vertAlign w:val="subscript"/>
                            <w:lang w:val="fr-FR"/>
                          </w:rPr>
                          <w:t>+</w:t>
                        </w:r>
                        <w:r w:rsidRPr="004472A2">
                          <w:rPr>
                            <w:i/>
                            <w:lang w:val="fr-FR"/>
                          </w:rPr>
                          <w:t xml:space="preserve">  </w:t>
                        </w:r>
                        <w:r w:rsidRPr="000F714A">
                          <w:rPr>
                            <w:rFonts w:ascii="Helvetica" w:hAnsi="Helvetica"/>
                            <w:i/>
                            <w:lang w:val="fr-FR"/>
                          </w:rPr>
                          <w:t>(</w:t>
                        </w:r>
                        <w:proofErr w:type="spellStart"/>
                        <w:r w:rsidRPr="000F714A">
                          <w:rPr>
                            <w:rFonts w:ascii="Helvetica" w:hAnsi="Helvetica"/>
                            <w:i/>
                            <w:lang w:val="fr-FR"/>
                          </w:rPr>
                          <w:t>homosynaptic</w:t>
                        </w:r>
                        <w:proofErr w:type="spellEnd"/>
                        <w:r w:rsidRPr="000F714A">
                          <w:rPr>
                            <w:rFonts w:ascii="Helvetica" w:hAnsi="Helvetica"/>
                            <w:i/>
                            <w:lang w:val="fr-FR"/>
                          </w:rPr>
                          <w:t xml:space="preserve"> LTD)</w:t>
                        </w:r>
                        <w:r w:rsidRPr="000F714A">
                          <w:rPr>
                            <w:i/>
                            <w:lang w:val="fr-FR"/>
                          </w:rPr>
                          <w:tab/>
                        </w:r>
                      </w:p>
                    </w:txbxContent>
                  </v:textbox>
                </v:shape>
                <v:shape id="Text Box 165" o:spid="_x0000_s1043" type="#_x0000_t202" style="position:absolute;left:8448;top:6330;width:40061;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N4WyQAAAOEAAAAPAAAAZHJzL2Rvd25yZXYueG1sRI/BasJA&#13;&#10;EIbvBd9hGaGXUjfmICW6SmsUerAHrXgestMkNDsbdlcT3945FHoZ+Bn+b+ZbbUbXqRuF2Ho2MJ9l&#13;&#10;oIgrb1uuDZy/969voGJCtth5JgN3irBZT55WWFg/8JFup1QrgXAs0ECTUl9oHauGHMaZ74ll9+OD&#13;&#10;wyQx1NoGHATuOp1n2UI7bFkuNNjTtqHq93R1BhZluA5H3r6U590Bv/o6v3zcL8Y8T8dyKeN9CSrR&#13;&#10;mP4bf4hPayCfy8tiJDag1w8AAAD//wMAUEsBAi0AFAAGAAgAAAAhANvh9svuAAAAhQEAABMAAAAA&#13;&#10;AAAAAAAAAAAAAAAAAFtDb250ZW50X1R5cGVzXS54bWxQSwECLQAUAAYACAAAACEAWvQsW78AAAAV&#13;&#10;AQAACwAAAAAAAAAAAAAAAAAfAQAAX3JlbHMvLnJlbHNQSwECLQAUAAYACAAAACEAfHDeFskAAADh&#13;&#10;AAAADwAAAAAAAAAAAAAAAAAHAgAAZHJzL2Rvd25yZXYueG1sUEsFBgAAAAADAAMAtwAAAP0CAAAA&#13;&#10;AA==&#13;&#10;" stroked="f">
                  <v:textbox inset="0,0,0,0">
                    <w:txbxContent>
                      <w:p w14:paraId="23AF6D2D" w14:textId="77777777" w:rsidR="000A22B8" w:rsidRPr="00C74840" w:rsidRDefault="000A22B8" w:rsidP="00B30D84">
                        <w:r w:rsidRPr="004472A2">
                          <w:sym w:font="Symbol" w:char="F02D"/>
                        </w:r>
                        <w:r w:rsidRPr="004472A2">
                          <w:t>Δ</w:t>
                        </w:r>
                        <w:r w:rsidRPr="00C74840">
                          <w:t xml:space="preserve">  </w:t>
                        </w:r>
                        <w:r w:rsidRPr="00C74840">
                          <w:tab/>
                        </w:r>
                        <w:r w:rsidRPr="00C74840">
                          <w:rPr>
                            <w:i/>
                          </w:rPr>
                          <w:t>if</w:t>
                        </w:r>
                        <w:r w:rsidRPr="00C74840">
                          <w:t xml:space="preserve"> </w:t>
                        </w:r>
                        <w:r w:rsidRPr="000F714A">
                          <w:rPr>
                            <w:i/>
                          </w:rPr>
                          <w:sym w:font="Symbol" w:char="F077"/>
                        </w:r>
                        <w:r w:rsidRPr="00C74840">
                          <w:rPr>
                            <w:i/>
                            <w:color w:val="FFFFFF"/>
                            <w:sz w:val="4"/>
                          </w:rPr>
                          <w:t>.</w:t>
                        </w:r>
                        <w:r w:rsidRPr="00C74840">
                          <w:rPr>
                            <w:i/>
                            <w:vertAlign w:val="subscript"/>
                          </w:rPr>
                          <w:t>E</w:t>
                        </w:r>
                        <w:r w:rsidRPr="00C74840">
                          <w:t>(</w:t>
                        </w:r>
                        <w:proofErr w:type="spellStart"/>
                        <w:r w:rsidRPr="00C74840">
                          <w:rPr>
                            <w:i/>
                          </w:rPr>
                          <w:t>i,t</w:t>
                        </w:r>
                        <w:proofErr w:type="spellEnd"/>
                        <w:r w:rsidRPr="00C74840">
                          <w:t>)&lt;</w:t>
                        </w:r>
                        <w:r w:rsidRPr="00C74840">
                          <w:rPr>
                            <w:i/>
                          </w:rPr>
                          <w:t xml:space="preserve"> </w:t>
                        </w:r>
                        <w:proofErr w:type="spellStart"/>
                        <w:r w:rsidRPr="004472A2">
                          <w:rPr>
                            <w:i/>
                          </w:rPr>
                          <w:t>θ</w:t>
                        </w:r>
                        <w:r w:rsidRPr="00C74840">
                          <w:rPr>
                            <w:i/>
                            <w:vertAlign w:val="subscript"/>
                          </w:rPr>
                          <w:t>pre</w:t>
                        </w:r>
                        <w:proofErr w:type="spellEnd"/>
                        <w:r w:rsidRPr="00C74840">
                          <w:rPr>
                            <w:i/>
                          </w:rPr>
                          <w:t xml:space="preserve"> and</w:t>
                        </w:r>
                        <w:r w:rsidRPr="00C74840">
                          <w:t xml:space="preserve"> </w:t>
                        </w:r>
                        <w:r w:rsidRPr="00C74840">
                          <w:rPr>
                            <w:vertAlign w:val="subscript"/>
                          </w:rPr>
                          <w:t xml:space="preserve"> </w:t>
                        </w:r>
                        <w:r w:rsidRPr="00C74840">
                          <w:rPr>
                            <w:i/>
                          </w:rPr>
                          <w:t>V</w:t>
                        </w:r>
                        <w:r w:rsidRPr="00C74840">
                          <w:t>(</w:t>
                        </w:r>
                        <w:proofErr w:type="spellStart"/>
                        <w:r w:rsidRPr="00C74840">
                          <w:rPr>
                            <w:i/>
                          </w:rPr>
                          <w:t>y,t</w:t>
                        </w:r>
                        <w:proofErr w:type="spellEnd"/>
                        <w:r w:rsidRPr="00C74840">
                          <w:t xml:space="preserve">) ≥ </w:t>
                        </w:r>
                        <w:r w:rsidRPr="004472A2">
                          <w:rPr>
                            <w:i/>
                          </w:rPr>
                          <w:t>θ</w:t>
                        </w:r>
                        <w:r w:rsidRPr="00C74840">
                          <w:rPr>
                            <w:vertAlign w:val="subscript"/>
                          </w:rPr>
                          <w:t>+</w:t>
                        </w:r>
                        <w:r w:rsidRPr="00C74840">
                          <w:rPr>
                            <w:i/>
                          </w:rPr>
                          <w:t xml:space="preserve">        </w:t>
                        </w:r>
                        <w:r w:rsidRPr="00C74840">
                          <w:rPr>
                            <w:rFonts w:ascii="Helvetica" w:hAnsi="Helvetica"/>
                            <w:i/>
                          </w:rPr>
                          <w:t>(</w:t>
                        </w:r>
                        <w:proofErr w:type="spellStart"/>
                        <w:r w:rsidRPr="00C74840">
                          <w:rPr>
                            <w:rFonts w:ascii="Helvetica" w:hAnsi="Helvetica"/>
                            <w:i/>
                          </w:rPr>
                          <w:t>heterosynaptic</w:t>
                        </w:r>
                        <w:proofErr w:type="spellEnd"/>
                        <w:r w:rsidRPr="00C74840">
                          <w:rPr>
                            <w:rFonts w:ascii="Helvetica" w:hAnsi="Helvetica"/>
                            <w:i/>
                          </w:rPr>
                          <w:t xml:space="preserve"> LTD)</w:t>
                        </w:r>
                        <w:r w:rsidRPr="00C74840">
                          <w:rPr>
                            <w:i/>
                          </w:rPr>
                          <w:t xml:space="preserve"> </w:t>
                        </w:r>
                      </w:p>
                    </w:txbxContent>
                  </v:textbox>
                </v:shape>
              </v:group>
            </w:pict>
          </mc:Fallback>
        </mc:AlternateContent>
      </w:r>
    </w:p>
    <w:p w14:paraId="3B2D82D4" w14:textId="6FF385DD" w:rsidR="0085677F" w:rsidRPr="007C17A6" w:rsidRDefault="0085677F" w:rsidP="0085677F">
      <w:pPr>
        <w:spacing w:before="120" w:after="120" w:line="480" w:lineRule="auto"/>
        <w:ind w:firstLine="288"/>
        <w:contextualSpacing/>
        <w:jc w:val="both"/>
        <w:rPr>
          <w:sz w:val="24"/>
          <w:szCs w:val="24"/>
          <w:lang w:val="en-GB" w:eastAsia="en-GB"/>
        </w:rPr>
      </w:pPr>
    </w:p>
    <w:p w14:paraId="7865F898" w14:textId="599D5520" w:rsidR="00E740D6" w:rsidRPr="007C17A6" w:rsidRDefault="00E740D6" w:rsidP="0085677F">
      <w:pPr>
        <w:spacing w:before="120" w:after="120" w:line="480" w:lineRule="auto"/>
        <w:ind w:firstLine="288"/>
        <w:contextualSpacing/>
        <w:jc w:val="both"/>
        <w:rPr>
          <w:sz w:val="24"/>
          <w:szCs w:val="24"/>
          <w:lang w:val="en-GB" w:eastAsia="en-GB"/>
        </w:rPr>
      </w:pPr>
    </w:p>
    <w:p w14:paraId="3470D62E" w14:textId="77777777" w:rsidR="00A81FE9" w:rsidRPr="007C17A6" w:rsidRDefault="00A81FE9" w:rsidP="005C75E5">
      <w:pPr>
        <w:jc w:val="both"/>
        <w:rPr>
          <w:sz w:val="24"/>
          <w:szCs w:val="24"/>
          <w:lang w:val="en-GB" w:eastAsia="en-GB"/>
        </w:rPr>
      </w:pPr>
    </w:p>
    <w:p w14:paraId="3747D3F0" w14:textId="69BC5012" w:rsidR="005C75E5" w:rsidRPr="007C17A6" w:rsidRDefault="005C75E5" w:rsidP="005C75E5">
      <w:pPr>
        <w:jc w:val="both"/>
        <w:rPr>
          <w:rFonts w:ascii="Times New Roman" w:hAnsi="Times New Roman" w:cs="Times New Roman"/>
          <w:noProof/>
          <w:sz w:val="24"/>
          <w:szCs w:val="24"/>
          <w:lang w:val="it-IT"/>
        </w:rPr>
      </w:pPr>
      <w:r w:rsidRPr="007C17A6">
        <w:rPr>
          <w:rFonts w:ascii="Times New Roman" w:hAnsi="Times New Roman" w:cs="Times New Roman"/>
          <w:noProof/>
          <w:sz w:val="24"/>
          <w:szCs w:val="24"/>
        </w:rPr>
        <w:t xml:space="preserve">The values in </w:t>
      </w:r>
      <w:r w:rsidR="00C74FBB" w:rsidRPr="007C17A6">
        <w:rPr>
          <w:rFonts w:ascii="Times New Roman" w:hAnsi="Times New Roman" w:cs="Times New Roman"/>
          <w:noProof/>
          <w:sz w:val="24"/>
          <w:szCs w:val="24"/>
        </w:rPr>
        <w:t>t</w:t>
      </w:r>
      <w:r w:rsidRPr="007C17A6">
        <w:rPr>
          <w:rFonts w:ascii="Times New Roman" w:hAnsi="Times New Roman" w:cs="Times New Roman"/>
          <w:noProof/>
          <w:sz w:val="24"/>
          <w:szCs w:val="24"/>
        </w:rPr>
        <w:t>able 1 describes the parameter</w:t>
      </w:r>
      <w:r w:rsidR="00C74FBB" w:rsidRPr="007C17A6">
        <w:rPr>
          <w:rFonts w:ascii="Times New Roman" w:hAnsi="Times New Roman" w:cs="Times New Roman"/>
          <w:noProof/>
          <w:sz w:val="24"/>
          <w:szCs w:val="24"/>
        </w:rPr>
        <w:t>s</w:t>
      </w:r>
      <w:r w:rsidRPr="007C17A6">
        <w:rPr>
          <w:rFonts w:ascii="Times New Roman" w:hAnsi="Times New Roman" w:cs="Times New Roman"/>
          <w:noProof/>
          <w:sz w:val="24"/>
          <w:szCs w:val="24"/>
        </w:rPr>
        <w:t xml:space="preserve"> used during word learning simulation in the network, which were chosen on the basis of previous simulations</w:t>
      </w:r>
      <w:r w:rsidRPr="007C17A6">
        <w:rPr>
          <w:rFonts w:ascii="Times New Roman" w:eastAsia="Times New Roman" w:hAnsi="Times New Roman" w:cs="Times New Roman"/>
          <w:sz w:val="24"/>
          <w:szCs w:val="24"/>
        </w:rPr>
        <w:t xml:space="preserve"> (e.g., </w:t>
      </w:r>
      <w:r w:rsidRPr="007C17A6">
        <w:rPr>
          <w:rFonts w:ascii="Times New Roman" w:eastAsia="Times New Roman" w:hAnsi="Times New Roman" w:cs="Times New Roman"/>
          <w:sz w:val="24"/>
          <w:szCs w:val="24"/>
        </w:rPr>
        <w:fldChar w:fldCharType="begin" w:fldLock="1"/>
      </w:r>
      <w:r w:rsidR="007F4106" w:rsidRPr="007C17A6">
        <w:rPr>
          <w:rFonts w:ascii="Times New Roman" w:eastAsia="Times New Roman" w:hAnsi="Times New Roman" w:cs="Times New Roman"/>
          <w:sz w:val="24"/>
          <w:szCs w:val="24"/>
        </w:rPr>
        <w:instrText xml:space="preserve">ADDIN CSL_CITATION { "citationItems" : [ { "id" : "ITEM-1", "itemData" : { "DOI" : "10.1016/j.neucom.2006.10.076", "ISBN" : "0925-2312", "ISSN" : "09252312", "abstract" : "We modelled language-learning processes in a brain-inspired model of the language cortex. The network consisted of neuron-like elements (graded-response units) and mimicked the neuroanatomical areas in the perisylvian language cortex and the intrinsic and mutual connections within and between them. Speaking words creates correlated activity in motor and auditory cortical systems. This correlated activity might play an important role in setting up word representations at the neuronal level [D.B. Fry, The development of the phonological system in the normal and deaf child, in: F. Smith, F.A. Miller, (Eds.), The genesis of language MIT Press, Cambridge, MA, 1966, pp. 187-206; F. Pulverm??ller, Words in the Brain's Language, Behav. Brain Sci. 22 (1999) 253-279]. We simulated this language-learning process and used the network to simulate neurophysiological brain responses to words and meaningless \"pseudowords\" as they have been documented using EEG and MEG. ?? 2006 Elsevier B.V. All rights reserved.", "author"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"Neurocomputing", "id" : "ITEM-1", "issue" : "10-12", "issued" : { "date-parts" : [ [ "2007", "6" ] ] }, "page" : "1914-1919", "title" : "A neuronal model of the language cortex", "type" : "article-journal", "volume" : "70" }, "uris" : [ "http://www.mendeley.com/documents/?uuid=bb008c16-ae8d-4831-89b1-39a4097a618f" ] }, { "id" : "ITEM-2", "itemData" : { "DOI" : "10.1007/s12559-009-9011-1", "ISBN" : "1866-9964 (Electronic)", "ISSN" : "18669956", "PMID" : "20396612", "abstract" : "Current cognitive theories postulate either localist representations of knowledge or fully overlapping, distributed ones. We use a connectionist model that closely replicates known anatomical properties of the cerebral cortex and neurophysiological principles to show that Hebbian learning in a multi-layer neural network leads to memory traces (cell assemblies) that are both distributed and anatomically distinct. Taking the example of word learning based on action-perception correlation, we document mechanisms underlying the emergence of these assemblies, especially (i) the recruitment of neurons and consolidation of connections defining the kernel of the assembly along with (ii) the pruning of the cell assembly's halo (consisting of very weakly connected cells). We found that, whereas a learning rule mapping covariance led to significant overlap and merging of assemblies, a neurobiologically grounded synaptic plasticity rule with fixed LTP/LTD thresholds produced minimal overlap and prevented merging, exhibiting competitive learning behaviour. Our results are discussed in light of current theories of language and memory. As simulations with neurobiologically realistic neural networks demonstrate here spontaneous emergence of lexical representations that are both cortically dispersed and anatomically distinct, both localist and distributed cognitive accounts receive partial support.", "author"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"Cognitive Computation", "id" : "ITEM-2", "issue" : "2", "issued" : { "date-parts" : [ [ "2009" ] ] }, "page" : "160-176", "title" : "Recruitment and consolidation of cell assemblies for words by way of hebbian learning and competition in a multi-layer neural network", "type" : "article-journal", "volume" : "1" }, "uris" : [ "http://www.mendeley.com/documents/?uuid=add69180-5245-4006-8ac0-b0b07fab57ad" ] }, { "id" : "ITEM-3", "itemData" : { "DOI" : "10.1016/j.neuroimage.2010.08.031", "ISBN" : "1095-9572 (Electronic) 1053-8119 (Linking)", "ISSN" : "10538119", "PMID" : "20728545", "abstract" : "Most animals detect sudden changes in trains of repeated stimuli but only some can learn a wide range of sensory patterns and recognise them later, a skill crucial for the evolutionary success of higher mammals. Here we use a neural model mimicking the cortical anatomy of sensory and motor areas and their connections to explain brain activity indexing auditory change and memory access. Our simulations indicate that while neuronal adaptation and local inhibition of cortical activity can explain aspects of change detection as observed when a repeated unfamiliar sound changes in frequency, the brain dynamics elicited by auditory stimulation with well-known patterns (such as meaningful words) cannot be accounted for on the basis of adaptation and inhibition alone. Specifically, we show that the stronger brain responses observed to familiar stimuli in passive oddball tasks are best explained in terms of activation of memory circuits that emerged in the cortex during the learning of these stimuli. Such memory circuits, and the activation enhancement they entail, are absent for unfamiliar stimuli. The model illustrates how basic neurobiological mechanisms, including neuronal adaptation, lateral inhibition, and Hebbian learning, underlie neuronal assembly formation and dynamics, and differentially contribute to the brain's major change detection response, the mismatch negativity. ?? 2010 Elsevier Inc.", "author" : [ { "dropping-particle" : "", "family" : "Garagnani", "given" : "Max", "non-dropping-particle" : "", "parse-names" : false, "suffix" : "" }, { "dropping-particle" : "", "family" : "Pulverm\u00fcller", "given" : "Friedemann", "non-dropping-particle" : "", "parse-names" : false, "suffix" : "" } ], "container-title" : "NeuroImage", "id" : "ITEM-3", "issue" : "1", "issued" : { "date-parts" : [ [ "2011" ] ] }, "note" : "1095-9572 (Electronic)\n1053-8119 (Linking)\nJournal Article", "page" : "170-181", "title" : "From sounds to words: A neurocomputational model of adaptation, inhibition and memory processes in auditory change detection", "type" : "article-journal", "volume" : "54" }, "uris" : [ "http://www.mendeley.com/documents/?uuid=be72ca3e-3aa3-4bc2-b445-28c3220d3f17" ] }, { "id" : "ITEM-4", "itemData" : { "DOI" : "http://doi.org/10.1016/j.neuropsychologia.2016.07.004.", "ISSN" : "0028-3932", "abstract" : "Neuroimaging and patient studies show that different areas of cortex respectively specialize for general and selective, or category-specific, semantic processing. Why are there both semantic hubs and category-specificity, and how come that they emerge in different cortical regions? Can the activation time-course of these areas be predicted and explained by brain-like network models? In this present work, we extend a neurocomputational model of human cortical function to simulate the time-course of cortical processes of understanding meaningful concrete words. The model implements frontal and temporal cortical areas for language, perception, and action along with their connectivity. It uses Hebbian learning to semantically ground words in aspects of their referential object- and action-related meaning. Compared with earlier proposals, the present model incorporates additional neuroanatomical links supported by connectivity studies and downscaled synaptic weights in order to control for functional between-area differences purely due to the number of in- or output links of an area. We show that learning of semantic relationships between words and the objects and actions these symbols are used to speak about, leads to the formation of distributed circuits, which all include neuronal material in connector hub areas bridging between sensory and motor cortical systems. Therefore, these connector hub areas acquire a role as semantic hubs. By differentially reaching into motor or visual areas, the cortical distributions of the emergent 'semantic circuits' reflect aspects of the represented symbols' meaning, thus explaining category-specificity. The improved connectivity structure of our model entails a degree of category-specificity even in the 'semantic hubs' of the model. The relative time-course of activation of these areas is typically fast and near-simultaneous, with semantic hubs central to the network structure activating before modality-preferential areas carrying semantic information.", "author" : [ { "dropping-particle" : "", "family" : "Tomasello", "given" : "Rosario", "non-dropping-particle" : "", "parse-names" : false, "suffix" :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"Neuropsychologia", "id" : "ITEM-4", "issue" : "April", "issued" : { "date-parts" : [ [ "2017" ] ] }, "page" : "111-129", "title" : "Brain connections of words, perceptions and actions: A neurobiological model of spatio-temporal semantic activation in the human cortex", "type" : "article-journal", "volume" : "98" }, "uris" : [ "http://www.mendeley.com/documents/?uuid=d40add22-d615-41bc-8a72-daad31f31798" ] }, { "id" : "ITEM-5", "itemData" : { "DOI" : "10.1523/JNEUROSCI.2693-16.2017", "author" : [ { "dropping-particle" : "", "family" : "Schomers", "given" </w:instrText>
      </w:r>
      <w:r w:rsidR="007F4106" w:rsidRPr="007C17A6">
        <w:rPr>
          <w:rFonts w:ascii="Times New Roman" w:eastAsia="Times New Roman" w:hAnsi="Times New Roman" w:cs="Times New Roman"/>
          <w:sz w:val="24"/>
          <w:szCs w:val="24"/>
          <w:lang w:val="it-IT"/>
        </w:rPr>
        <w:instrText>: "Malte R", "non-dropping-particle" : "", "parse-names" : false, "suffix" : "" }, { "dropping-particle" : "", "family" : "Garagnani", "given" : "Max", "non-dropping-particle" : "", "parse-names" : false, "suffix" : "" }, { "dropping-particle" : "", "family" : "Pulverm\u00fcller", "given" : "Friedemann", "non-dropping-particle" : "", "parse-names" : false, "suffix" : "" } ], "container-title" : "Journal of Neuroscience", "id" : "ITEM-5", "issue" : "11", "issued" : { "date-parts" : [ [ "2017" ] ] }, "page" : "3045-3055", "title" : "Neurocomputational Consequences of Evolutionary Connectivity Changes in Perisylvian Language Cortex", "type" : "article-journal", "volume" : "37" }, "uris" : [ "http://www.mendeley.com/documents/?uuid=24492328-a7f0-4f9c-866e-96cd3f40bd12" ] } ], "mendeley" : { "formattedCitation" : "(Garagnani et al., 2009, 2007; Garagnani and Pulverm\u00fcller, 2011; Schomers et al., 2017; Tomasello et al., 2017)", "manualFormatting" : "Garagnani et al., 2009, 2007; Garagnani and Pulverm\u00fcller, 2011; Schomers et al., 2017; Tomasello et al., 2017)", "plainTextFormattedCitation" : "(Garagnani et al., 2009, 2007; Garagnani and Pulverm\u00fcller, 2011; Schomers et al., 2017; Tomasello et al., 2017)", "previouslyFormattedCitation" : "(Garagnani et al., 2009, 2007; Garagnani and Pulverm\u00fcller, 2011; Schomers et al., 2017; Tomasello et al., 2017)" }, "properties" : {  }, "schema" : "https://github.com/citation-style-language/schema/raw/master/csl-citation.json" }</w:instrText>
      </w:r>
      <w:r w:rsidRPr="007C17A6">
        <w:rPr>
          <w:rFonts w:ascii="Times New Roman" w:eastAsia="Times New Roman" w:hAnsi="Times New Roman" w:cs="Times New Roman"/>
          <w:sz w:val="24"/>
          <w:szCs w:val="24"/>
        </w:rPr>
        <w:fldChar w:fldCharType="separate"/>
      </w:r>
      <w:r w:rsidR="0096169A" w:rsidRPr="007C17A6">
        <w:rPr>
          <w:rFonts w:ascii="Times New Roman" w:eastAsia="Times New Roman" w:hAnsi="Times New Roman" w:cs="Times New Roman"/>
          <w:noProof/>
          <w:sz w:val="24"/>
          <w:szCs w:val="24"/>
          <w:lang w:val="it-IT"/>
        </w:rPr>
        <w:t>Garagnani et al., 2009, 2007; Garagnani and Pulvermüller, 2011; Schomers et al., 2017; Tomasello et al., 2017)</w:t>
      </w:r>
      <w:r w:rsidRPr="007C17A6">
        <w:rPr>
          <w:rFonts w:ascii="Times New Roman" w:eastAsia="Times New Roman" w:hAnsi="Times New Roman" w:cs="Times New Roman"/>
          <w:sz w:val="24"/>
          <w:szCs w:val="24"/>
        </w:rPr>
        <w:fldChar w:fldCharType="end"/>
      </w:r>
      <w:r w:rsidR="0096169A" w:rsidRPr="007C17A6">
        <w:rPr>
          <w:rFonts w:ascii="Times New Roman" w:hAnsi="Times New Roman" w:cs="Times New Roman"/>
          <w:noProof/>
          <w:sz w:val="24"/>
          <w:szCs w:val="24"/>
          <w:lang w:val="it-IT"/>
        </w:rPr>
        <w:t>.</w:t>
      </w:r>
    </w:p>
    <w:p w14:paraId="2E61D73D" w14:textId="77777777" w:rsidR="00B30D84" w:rsidRPr="007C17A6" w:rsidRDefault="00B30D84" w:rsidP="00E740D6">
      <w:pPr>
        <w:pStyle w:val="Heading2"/>
        <w:spacing w:line="360" w:lineRule="auto"/>
        <w:contextualSpacing/>
        <w:rPr>
          <w:rFonts w:ascii="Times New Roman" w:hAnsi="Times New Roman" w:cs="Times New Roman"/>
          <w:b/>
          <w:color w:val="auto"/>
          <w:sz w:val="24"/>
          <w:szCs w:val="24"/>
        </w:rPr>
      </w:pPr>
      <w:r w:rsidRPr="007C17A6">
        <w:rPr>
          <w:rFonts w:ascii="Times New Roman" w:hAnsi="Times New Roman" w:cs="Times New Roman"/>
          <w:b/>
          <w:noProof/>
          <w:color w:val="auto"/>
          <w:sz w:val="24"/>
          <w:szCs w:val="24"/>
        </w:rPr>
        <w:t>Table 1: Parameter values used in the simulation</w:t>
      </w:r>
    </w:p>
    <w:p w14:paraId="7A8B0EE1" w14:textId="77777777" w:rsidR="00B30D84" w:rsidRPr="007C17A6" w:rsidRDefault="00B30D84" w:rsidP="00E740D6">
      <w:pPr>
        <w:spacing w:after="0" w:line="360" w:lineRule="auto"/>
        <w:ind w:left="1440" w:hanging="1298"/>
        <w:contextualSpacing/>
        <w:jc w:val="both"/>
      </w:pPr>
      <w:r w:rsidRPr="007C17A6">
        <w:rPr>
          <w:sz w:val="24"/>
          <w:szCs w:val="24"/>
          <w:lang w:val="en-GB" w:eastAsia="en-GB"/>
        </w:rPr>
        <w:t xml:space="preserve">Eq.(B1)  </w:t>
      </w:r>
      <w:r w:rsidRPr="007C17A6">
        <w:rPr>
          <w:sz w:val="24"/>
          <w:szCs w:val="24"/>
          <w:lang w:val="en-GB" w:eastAsia="en-GB"/>
        </w:rPr>
        <w:tab/>
      </w:r>
      <w:r w:rsidRPr="007C17A6">
        <w:rPr>
          <w:rFonts w:ascii="Times New Roman" w:hAnsi="Times New Roman" w:cs="Times New Roman"/>
          <w:sz w:val="24"/>
          <w:szCs w:val="24"/>
          <w:lang w:val="en-GB" w:eastAsia="en-GB"/>
        </w:rPr>
        <w:t>Time constant (excitatory cells)</w:t>
      </w:r>
      <w:r w:rsidRPr="007C17A6">
        <w:rPr>
          <w:i/>
          <w:sz w:val="24"/>
          <w:szCs w:val="24"/>
          <w:lang w:val="en-GB" w:eastAsia="en-GB"/>
        </w:rPr>
        <w:tab/>
      </w:r>
      <w:r w:rsidRPr="007C17A6">
        <w:rPr>
          <w:rFonts w:ascii="Symbol" w:eastAsia="Symbol" w:hAnsi="Symbol" w:cs="Symbol"/>
          <w:i/>
          <w:sz w:val="24"/>
          <w:szCs w:val="24"/>
          <w:lang w:val="en-GB" w:eastAsia="en-GB"/>
        </w:rPr>
        <w:t></w:t>
      </w:r>
      <w:r w:rsidRPr="007C17A6">
        <w:rPr>
          <w:i/>
          <w:sz w:val="24"/>
          <w:szCs w:val="24"/>
          <w:lang w:val="en-GB" w:eastAsia="en-GB"/>
        </w:rPr>
        <w:t xml:space="preserve"> </w:t>
      </w:r>
      <w:r w:rsidRPr="007C17A6">
        <w:rPr>
          <w:sz w:val="24"/>
          <w:szCs w:val="24"/>
          <w:lang w:val="en-GB" w:eastAsia="en-GB"/>
        </w:rPr>
        <w:t xml:space="preserve">= </w:t>
      </w:r>
      <w:r w:rsidRPr="007C17A6">
        <w:rPr>
          <w:rFonts w:ascii="Times New Roman" w:hAnsi="Times New Roman" w:cs="Times New Roman"/>
          <w:sz w:val="24"/>
          <w:szCs w:val="24"/>
          <w:lang w:val="en-GB" w:eastAsia="en-GB"/>
        </w:rPr>
        <w:t xml:space="preserve">2.5 (simulation time-steps) </w:t>
      </w:r>
    </w:p>
    <w:p w14:paraId="43C6D822" w14:textId="77777777" w:rsidR="00B30D84" w:rsidRPr="007C17A6" w:rsidRDefault="00B30D84" w:rsidP="00E740D6">
      <w:pPr>
        <w:spacing w:after="0" w:line="360" w:lineRule="auto"/>
        <w:ind w:left="1440"/>
        <w:contextualSpacing/>
        <w:jc w:val="both"/>
      </w:pPr>
      <w:r w:rsidRPr="007C17A6">
        <w:rPr>
          <w:rFonts w:ascii="Times New Roman" w:hAnsi="Times New Roman" w:cs="Times New Roman"/>
          <w:sz w:val="24"/>
          <w:szCs w:val="24"/>
          <w:lang w:val="en-GB" w:eastAsia="en-GB"/>
        </w:rPr>
        <w:t xml:space="preserve">Time constant (inhibitory cells) </w:t>
      </w:r>
      <w:r w:rsidRPr="007C17A6">
        <w:rPr>
          <w:sz w:val="24"/>
          <w:szCs w:val="24"/>
          <w:lang w:val="en-GB" w:eastAsia="en-GB"/>
        </w:rPr>
        <w:tab/>
      </w:r>
      <w:r w:rsidRPr="007C17A6">
        <w:rPr>
          <w:rFonts w:ascii="Symbol" w:eastAsia="Symbol" w:hAnsi="Symbol" w:cs="Symbol"/>
          <w:i/>
          <w:sz w:val="24"/>
          <w:szCs w:val="24"/>
          <w:lang w:val="en-GB" w:eastAsia="en-GB"/>
        </w:rPr>
        <w:t></w:t>
      </w:r>
      <w:r w:rsidRPr="007C17A6">
        <w:rPr>
          <w:i/>
          <w:sz w:val="24"/>
          <w:szCs w:val="24"/>
          <w:lang w:val="en-GB" w:eastAsia="en-GB"/>
        </w:rPr>
        <w:t xml:space="preserve"> </w:t>
      </w:r>
      <w:r w:rsidRPr="007C17A6">
        <w:rPr>
          <w:sz w:val="24"/>
          <w:szCs w:val="24"/>
          <w:lang w:val="en-GB" w:eastAsia="en-GB"/>
        </w:rPr>
        <w:t xml:space="preserve"> = </w:t>
      </w:r>
      <w:r w:rsidRPr="007C17A6">
        <w:rPr>
          <w:rFonts w:ascii="Times New Roman" w:hAnsi="Times New Roman" w:cs="Times New Roman"/>
          <w:sz w:val="24"/>
          <w:szCs w:val="24"/>
          <w:lang w:val="en-GB" w:eastAsia="en-GB"/>
        </w:rPr>
        <w:t>5 (simulation time-steps)</w:t>
      </w:r>
    </w:p>
    <w:p w14:paraId="3E5E56B6" w14:textId="77777777" w:rsidR="00B30D84" w:rsidRPr="007C17A6" w:rsidRDefault="00B30D84" w:rsidP="00E740D6">
      <w:pPr>
        <w:spacing w:after="0" w:line="360" w:lineRule="auto"/>
        <w:ind w:firstLine="720"/>
        <w:contextualSpacing/>
        <w:jc w:val="both"/>
        <w:rPr>
          <w:rFonts w:ascii="Times New Roman" w:hAnsi="Times New Roman" w:cs="Times New Roman"/>
        </w:rPr>
      </w:pPr>
      <w:r w:rsidRPr="007C17A6">
        <w:rPr>
          <w:sz w:val="24"/>
          <w:szCs w:val="24"/>
          <w:lang w:val="en-GB" w:eastAsia="en-GB"/>
        </w:rPr>
        <w:t xml:space="preserve"> </w:t>
      </w:r>
      <w:r w:rsidRPr="007C17A6">
        <w:rPr>
          <w:rFonts w:ascii="Times New Roman" w:hAnsi="Times New Roman" w:cs="Times New Roman"/>
          <w:sz w:val="24"/>
          <w:szCs w:val="24"/>
          <w:lang w:val="en-GB" w:eastAsia="en-GB"/>
        </w:rPr>
        <w:tab/>
        <w:t>Total input rescaling factor</w:t>
      </w:r>
      <w:r w:rsidRPr="007C17A6">
        <w:rPr>
          <w:rFonts w:ascii="Times New Roman" w:hAnsi="Times New Roman" w:cs="Times New Roman"/>
          <w:sz w:val="24"/>
          <w:szCs w:val="24"/>
          <w:lang w:val="en-GB" w:eastAsia="en-GB"/>
        </w:rPr>
        <w:tab/>
      </w:r>
      <w:r w:rsidRPr="007C17A6">
        <w:rPr>
          <w:rFonts w:ascii="Times New Roman" w:hAnsi="Times New Roman" w:cs="Times New Roman"/>
          <w:sz w:val="24"/>
          <w:szCs w:val="24"/>
          <w:lang w:val="en-GB" w:eastAsia="en-GB"/>
        </w:rPr>
        <w:tab/>
      </w:r>
      <w:r w:rsidRPr="007C17A6">
        <w:rPr>
          <w:rFonts w:ascii="Times New Roman" w:hAnsi="Times New Roman" w:cs="Times New Roman"/>
          <w:i/>
          <w:sz w:val="24"/>
          <w:szCs w:val="24"/>
          <w:lang w:val="en-GB" w:eastAsia="en-GB"/>
        </w:rPr>
        <w:t>k</w:t>
      </w:r>
      <w:r w:rsidRPr="007C17A6">
        <w:rPr>
          <w:rFonts w:ascii="Times New Roman" w:hAnsi="Times New Roman" w:cs="Times New Roman"/>
          <w:sz w:val="24"/>
          <w:szCs w:val="24"/>
          <w:vertAlign w:val="subscript"/>
          <w:lang w:val="en-GB" w:eastAsia="en-GB"/>
        </w:rPr>
        <w:t xml:space="preserve">1 </w:t>
      </w:r>
      <w:r w:rsidRPr="007C17A6">
        <w:rPr>
          <w:rFonts w:ascii="Times New Roman" w:hAnsi="Times New Roman" w:cs="Times New Roman"/>
          <w:sz w:val="24"/>
          <w:szCs w:val="24"/>
          <w:lang w:val="en-GB" w:eastAsia="en-GB"/>
        </w:rPr>
        <w:t>= 0.01</w:t>
      </w:r>
    </w:p>
    <w:p w14:paraId="44314D19" w14:textId="77777777" w:rsidR="00B30D84" w:rsidRPr="007C17A6" w:rsidRDefault="00B30D84" w:rsidP="00E740D6">
      <w:pPr>
        <w:spacing w:after="0" w:line="360" w:lineRule="auto"/>
        <w:ind w:left="720" w:firstLine="720"/>
        <w:contextualSpacing/>
        <w:jc w:val="both"/>
      </w:pPr>
      <w:r w:rsidRPr="007C17A6">
        <w:rPr>
          <w:rFonts w:ascii="Times New Roman" w:hAnsi="Times New Roman" w:cs="Times New Roman"/>
          <w:sz w:val="24"/>
          <w:szCs w:val="24"/>
          <w:lang w:val="en-GB" w:eastAsia="en-GB"/>
        </w:rPr>
        <w:t>Noise amplitude</w:t>
      </w:r>
      <w:r w:rsidRPr="007C17A6">
        <w:rPr>
          <w:rFonts w:ascii="Times New Roman" w:hAnsi="Times New Roman" w:cs="Times New Roman"/>
          <w:sz w:val="24"/>
          <w:szCs w:val="24"/>
          <w:lang w:val="en-GB" w:eastAsia="en-GB"/>
        </w:rPr>
        <w:tab/>
      </w:r>
      <w:r w:rsidRPr="007C17A6">
        <w:rPr>
          <w:rFonts w:ascii="Times New Roman" w:hAnsi="Times New Roman" w:cs="Times New Roman"/>
          <w:sz w:val="24"/>
          <w:szCs w:val="24"/>
          <w:lang w:val="en-GB" w:eastAsia="en-GB"/>
        </w:rPr>
        <w:tab/>
      </w:r>
      <w:r w:rsidRPr="007C17A6">
        <w:rPr>
          <w:rFonts w:ascii="Times New Roman" w:hAnsi="Times New Roman" w:cs="Times New Roman"/>
          <w:sz w:val="24"/>
          <w:szCs w:val="24"/>
          <w:lang w:val="en-GB" w:eastAsia="en-GB"/>
        </w:rPr>
        <w:tab/>
      </w:r>
      <w:r w:rsidRPr="007C17A6">
        <w:rPr>
          <w:rFonts w:ascii="Times New Roman" w:hAnsi="Times New Roman" w:cs="Times New Roman"/>
          <w:i/>
          <w:sz w:val="24"/>
          <w:szCs w:val="24"/>
          <w:lang w:val="en-GB" w:eastAsia="en-GB"/>
        </w:rPr>
        <w:t>k</w:t>
      </w:r>
      <w:r w:rsidRPr="007C17A6">
        <w:rPr>
          <w:rFonts w:ascii="Times New Roman" w:hAnsi="Times New Roman" w:cs="Times New Roman"/>
          <w:sz w:val="24"/>
          <w:szCs w:val="24"/>
          <w:vertAlign w:val="subscript"/>
          <w:lang w:val="en-GB" w:eastAsia="en-GB"/>
        </w:rPr>
        <w:t>2</w:t>
      </w:r>
      <w:r w:rsidRPr="007C17A6">
        <w:rPr>
          <w:rFonts w:ascii="Times New Roman" w:hAnsi="Times New Roman" w:cs="Times New Roman"/>
          <w:sz w:val="24"/>
          <w:szCs w:val="24"/>
          <w:lang w:val="en-GB" w:eastAsia="en-GB"/>
        </w:rPr>
        <w:t xml:space="preserve">= </w:t>
      </w:r>
      <w:r w:rsidRPr="007C17A6">
        <w:rPr>
          <w:sz w:val="24"/>
          <w:szCs w:val="24"/>
          <w:lang w:val="en-GB" w:eastAsia="en-GB"/>
        </w:rPr>
        <w:t>5∙</w:t>
      </w:r>
      <w:r w:rsidRPr="007C17A6">
        <w:rPr>
          <w:rFonts w:ascii="Symbol" w:eastAsia="Symbol" w:hAnsi="Symbol" w:cs="Symbol"/>
          <w:sz w:val="24"/>
          <w:szCs w:val="24"/>
          <w:lang w:val="en-GB" w:eastAsia="en-GB"/>
        </w:rPr>
        <w:t></w:t>
      </w:r>
      <w:r w:rsidRPr="007C17A6">
        <w:rPr>
          <w:sz w:val="24"/>
          <w:szCs w:val="24"/>
          <w:lang w:val="en-GB" w:eastAsia="en-GB"/>
        </w:rPr>
        <w:t>(24/</w:t>
      </w:r>
      <w:proofErr w:type="spellStart"/>
      <w:r w:rsidRPr="007C17A6">
        <w:rPr>
          <w:sz w:val="24"/>
          <w:szCs w:val="24"/>
          <w:lang w:val="en-GB" w:eastAsia="en-GB"/>
        </w:rPr>
        <w:t>Δt</w:t>
      </w:r>
      <w:proofErr w:type="spellEnd"/>
      <w:r w:rsidRPr="007C17A6">
        <w:rPr>
          <w:sz w:val="24"/>
          <w:szCs w:val="24"/>
          <w:lang w:val="en-GB" w:eastAsia="en-GB"/>
        </w:rPr>
        <w:t>)</w:t>
      </w:r>
    </w:p>
    <w:p w14:paraId="32678EC6" w14:textId="77777777" w:rsidR="00B30D84" w:rsidRPr="007C17A6" w:rsidRDefault="00B30D84" w:rsidP="00E740D6">
      <w:pPr>
        <w:spacing w:after="0" w:line="360" w:lineRule="auto"/>
        <w:ind w:left="720" w:firstLine="720"/>
        <w:contextualSpacing/>
        <w:jc w:val="both"/>
        <w:rPr>
          <w:rFonts w:ascii="Times New Roman" w:hAnsi="Times New Roman" w:cs="Times New Roman"/>
        </w:rPr>
      </w:pPr>
      <w:r w:rsidRPr="007C17A6">
        <w:rPr>
          <w:rFonts w:ascii="Times New Roman" w:hAnsi="Times New Roman" w:cs="Times New Roman"/>
          <w:sz w:val="24"/>
          <w:szCs w:val="24"/>
          <w:lang w:val="en-GB" w:eastAsia="en-GB"/>
        </w:rPr>
        <w:t xml:space="preserve">Global inhibition strength </w:t>
      </w:r>
      <w:r w:rsidRPr="007C17A6">
        <w:rPr>
          <w:rFonts w:ascii="Times New Roman" w:hAnsi="Times New Roman" w:cs="Times New Roman"/>
          <w:sz w:val="24"/>
          <w:szCs w:val="24"/>
          <w:lang w:val="en-GB" w:eastAsia="en-GB"/>
        </w:rPr>
        <w:tab/>
      </w:r>
      <w:r w:rsidRPr="007C17A6">
        <w:rPr>
          <w:rFonts w:ascii="Times New Roman" w:hAnsi="Times New Roman" w:cs="Times New Roman"/>
          <w:sz w:val="24"/>
          <w:szCs w:val="24"/>
          <w:lang w:val="en-GB" w:eastAsia="en-GB"/>
        </w:rPr>
        <w:tab/>
      </w:r>
      <w:proofErr w:type="spellStart"/>
      <w:r w:rsidRPr="007C17A6">
        <w:rPr>
          <w:rFonts w:ascii="Times New Roman" w:hAnsi="Times New Roman" w:cs="Times New Roman"/>
          <w:i/>
          <w:sz w:val="24"/>
          <w:szCs w:val="24"/>
          <w:lang w:val="en-GB" w:eastAsia="en-GB"/>
        </w:rPr>
        <w:t>k</w:t>
      </w:r>
      <w:r w:rsidRPr="007C17A6">
        <w:rPr>
          <w:rFonts w:ascii="Times New Roman" w:hAnsi="Times New Roman" w:cs="Times New Roman"/>
          <w:i/>
          <w:sz w:val="24"/>
          <w:szCs w:val="24"/>
          <w:vertAlign w:val="subscript"/>
          <w:lang w:val="en-GB" w:eastAsia="en-GB"/>
        </w:rPr>
        <w:t>G</w:t>
      </w:r>
      <w:proofErr w:type="spellEnd"/>
      <w:r w:rsidRPr="007C17A6">
        <w:rPr>
          <w:rFonts w:ascii="Times New Roman" w:hAnsi="Times New Roman" w:cs="Times New Roman"/>
          <w:sz w:val="24"/>
          <w:szCs w:val="24"/>
          <w:lang w:val="en-GB" w:eastAsia="en-GB"/>
        </w:rPr>
        <w:t>= 0.60</w:t>
      </w:r>
    </w:p>
    <w:p w14:paraId="49DD21D6" w14:textId="77777777" w:rsidR="00B30D84" w:rsidRPr="007C17A6" w:rsidRDefault="00B30D84" w:rsidP="00E740D6">
      <w:pPr>
        <w:spacing w:after="0" w:line="360" w:lineRule="auto"/>
        <w:ind w:firstLine="142"/>
        <w:contextualSpacing/>
        <w:jc w:val="both"/>
        <w:rPr>
          <w:rFonts w:ascii="Times New Roman" w:hAnsi="Times New Roman" w:cs="Times New Roman"/>
        </w:rPr>
      </w:pPr>
      <w:r w:rsidRPr="007C17A6">
        <w:rPr>
          <w:rFonts w:ascii="Times New Roman" w:hAnsi="Times New Roman" w:cs="Times New Roman"/>
          <w:sz w:val="24"/>
          <w:szCs w:val="24"/>
          <w:lang w:val="en-GB" w:eastAsia="en-GB"/>
        </w:rPr>
        <w:t xml:space="preserve">Eq. (B2) </w:t>
      </w:r>
      <w:r w:rsidRPr="007C17A6">
        <w:rPr>
          <w:rFonts w:ascii="Times New Roman" w:hAnsi="Times New Roman" w:cs="Times New Roman"/>
          <w:sz w:val="24"/>
          <w:szCs w:val="24"/>
          <w:lang w:val="en-GB" w:eastAsia="en-GB"/>
        </w:rPr>
        <w:tab/>
        <w:t>Spiking threshold</w:t>
      </w:r>
      <w:r w:rsidRPr="007C17A6">
        <w:rPr>
          <w:rFonts w:ascii="Times New Roman" w:hAnsi="Times New Roman" w:cs="Times New Roman"/>
          <w:sz w:val="24"/>
          <w:szCs w:val="24"/>
          <w:lang w:val="en-GB" w:eastAsia="en-GB"/>
        </w:rPr>
        <w:tab/>
      </w:r>
      <w:r w:rsidRPr="007C17A6">
        <w:rPr>
          <w:rFonts w:ascii="Times New Roman" w:hAnsi="Times New Roman" w:cs="Times New Roman"/>
          <w:sz w:val="24"/>
          <w:szCs w:val="24"/>
          <w:lang w:val="en-GB" w:eastAsia="en-GB"/>
        </w:rPr>
        <w:tab/>
      </w:r>
      <w:r w:rsidRPr="007C17A6">
        <w:rPr>
          <w:rFonts w:ascii="Times New Roman" w:hAnsi="Times New Roman" w:cs="Times New Roman"/>
          <w:sz w:val="24"/>
          <w:szCs w:val="24"/>
          <w:lang w:val="en-GB" w:eastAsia="en-GB"/>
        </w:rPr>
        <w:tab/>
      </w:r>
      <w:r w:rsidRPr="007C17A6">
        <w:rPr>
          <w:rFonts w:ascii="Times New Roman" w:hAnsi="Times New Roman" w:cs="Times New Roman"/>
          <w:i/>
          <w:sz w:val="24"/>
          <w:szCs w:val="24"/>
          <w:lang w:val="en-GB" w:eastAsia="en-GB"/>
        </w:rPr>
        <w:t xml:space="preserve">thresh </w:t>
      </w:r>
      <w:r w:rsidRPr="007C17A6">
        <w:rPr>
          <w:rFonts w:ascii="Times New Roman" w:hAnsi="Times New Roman" w:cs="Times New Roman"/>
          <w:sz w:val="24"/>
          <w:szCs w:val="24"/>
          <w:lang w:val="en-GB" w:eastAsia="en-GB"/>
        </w:rPr>
        <w:t>= 0.18</w:t>
      </w:r>
    </w:p>
    <w:p w14:paraId="4367FBC3" w14:textId="77777777" w:rsidR="00B30D84" w:rsidRPr="007C17A6" w:rsidRDefault="00B30D84" w:rsidP="00E740D6">
      <w:pPr>
        <w:spacing w:after="0" w:line="360" w:lineRule="auto"/>
        <w:ind w:left="720" w:firstLine="720"/>
        <w:contextualSpacing/>
        <w:jc w:val="both"/>
      </w:pPr>
      <w:r w:rsidRPr="007C17A6">
        <w:rPr>
          <w:rFonts w:ascii="Times New Roman" w:hAnsi="Times New Roman" w:cs="Times New Roman"/>
          <w:sz w:val="24"/>
          <w:szCs w:val="24"/>
          <w:lang w:val="en-GB" w:eastAsia="en-GB"/>
        </w:rPr>
        <w:t>Adaptation strength</w:t>
      </w:r>
      <w:r w:rsidRPr="007C17A6">
        <w:rPr>
          <w:sz w:val="24"/>
          <w:szCs w:val="24"/>
          <w:lang w:val="en-GB" w:eastAsia="en-GB"/>
        </w:rPr>
        <w:tab/>
      </w:r>
      <w:r w:rsidRPr="007C17A6">
        <w:rPr>
          <w:sz w:val="24"/>
          <w:szCs w:val="24"/>
          <w:lang w:val="en-GB" w:eastAsia="en-GB"/>
        </w:rPr>
        <w:tab/>
      </w:r>
      <w:r w:rsidRPr="007C17A6">
        <w:rPr>
          <w:sz w:val="24"/>
          <w:szCs w:val="24"/>
          <w:lang w:val="en-GB" w:eastAsia="en-GB"/>
        </w:rPr>
        <w:tab/>
      </w:r>
      <w:r w:rsidRPr="007C17A6">
        <w:rPr>
          <w:rFonts w:ascii="Symbol" w:eastAsia="Symbol" w:hAnsi="Symbol" w:cs="Symbol"/>
          <w:sz w:val="24"/>
          <w:szCs w:val="24"/>
          <w:lang w:val="en-GB" w:eastAsia="en-GB"/>
        </w:rPr>
        <w:t></w:t>
      </w:r>
      <w:r w:rsidRPr="007C17A6">
        <w:rPr>
          <w:sz w:val="24"/>
          <w:szCs w:val="24"/>
          <w:lang w:val="en-GB" w:eastAsia="en-GB"/>
        </w:rPr>
        <w:t>= 7.0</w:t>
      </w:r>
    </w:p>
    <w:p w14:paraId="07324CB2" w14:textId="77777777" w:rsidR="00B30D84" w:rsidRPr="007C17A6" w:rsidRDefault="00B30D84" w:rsidP="00E740D6">
      <w:pPr>
        <w:spacing w:after="0" w:line="360" w:lineRule="auto"/>
        <w:ind w:firstLine="142"/>
        <w:contextualSpacing/>
        <w:jc w:val="both"/>
      </w:pPr>
      <w:r w:rsidRPr="007C17A6">
        <w:rPr>
          <w:rFonts w:ascii="Times New Roman" w:hAnsi="Times New Roman" w:cs="Times New Roman"/>
          <w:sz w:val="24"/>
          <w:szCs w:val="24"/>
          <w:lang w:val="en-GB" w:eastAsia="en-GB"/>
        </w:rPr>
        <w:t>Eq.(B3.1)</w:t>
      </w:r>
      <w:r w:rsidRPr="007C17A6">
        <w:rPr>
          <w:rFonts w:ascii="Times New Roman" w:hAnsi="Times New Roman" w:cs="Times New Roman"/>
          <w:sz w:val="24"/>
          <w:szCs w:val="24"/>
          <w:lang w:val="en-GB" w:eastAsia="en-GB"/>
        </w:rPr>
        <w:tab/>
        <w:t>Adaptation time constant</w:t>
      </w:r>
      <w:r w:rsidRPr="007C17A6">
        <w:rPr>
          <w:sz w:val="24"/>
          <w:szCs w:val="24"/>
          <w:lang w:val="en-GB" w:eastAsia="en-GB"/>
        </w:rPr>
        <w:t xml:space="preserve"> </w:t>
      </w:r>
      <w:r w:rsidRPr="007C17A6">
        <w:rPr>
          <w:sz w:val="24"/>
          <w:szCs w:val="24"/>
          <w:lang w:val="en-GB" w:eastAsia="en-GB"/>
        </w:rPr>
        <w:tab/>
      </w:r>
      <w:r w:rsidRPr="007C17A6">
        <w:rPr>
          <w:sz w:val="24"/>
          <w:szCs w:val="24"/>
          <w:lang w:val="en-GB" w:eastAsia="en-GB"/>
        </w:rPr>
        <w:tab/>
      </w:r>
      <w:r w:rsidRPr="007C17A6">
        <w:rPr>
          <w:rFonts w:ascii="Symbol" w:eastAsia="Symbol" w:hAnsi="Symbol" w:cs="Symbol"/>
          <w:i/>
          <w:sz w:val="24"/>
          <w:szCs w:val="24"/>
          <w:lang w:val="en-GB" w:eastAsia="en-GB"/>
        </w:rPr>
        <w:t></w:t>
      </w:r>
      <w:r w:rsidRPr="007C17A6">
        <w:rPr>
          <w:i/>
          <w:sz w:val="24"/>
          <w:szCs w:val="24"/>
          <w:vertAlign w:val="subscript"/>
          <w:lang w:val="en-GB" w:eastAsia="en-GB"/>
        </w:rPr>
        <w:t>ADAPT</w:t>
      </w:r>
      <w:r w:rsidRPr="007C17A6">
        <w:rPr>
          <w:sz w:val="24"/>
          <w:szCs w:val="24"/>
          <w:vertAlign w:val="subscript"/>
          <w:lang w:val="en-GB" w:eastAsia="en-GB"/>
        </w:rPr>
        <w:t xml:space="preserve"> </w:t>
      </w:r>
      <w:r w:rsidRPr="007C17A6">
        <w:rPr>
          <w:sz w:val="24"/>
          <w:szCs w:val="24"/>
          <w:lang w:val="en-GB" w:eastAsia="en-GB"/>
        </w:rPr>
        <w:t>= 10 (time steps)</w:t>
      </w:r>
    </w:p>
    <w:p w14:paraId="2FB50EE0" w14:textId="77777777" w:rsidR="00B30D84" w:rsidRPr="007C17A6" w:rsidRDefault="00B30D84" w:rsidP="00E740D6">
      <w:pPr>
        <w:spacing w:after="0" w:line="360" w:lineRule="auto"/>
        <w:ind w:firstLine="142"/>
        <w:contextualSpacing/>
        <w:jc w:val="both"/>
      </w:pPr>
      <w:r w:rsidRPr="007C17A6">
        <w:rPr>
          <w:rFonts w:ascii="Times New Roman" w:hAnsi="Times New Roman" w:cs="Times New Roman"/>
          <w:sz w:val="24"/>
          <w:szCs w:val="24"/>
          <w:lang w:val="en-GB" w:eastAsia="en-GB"/>
        </w:rPr>
        <w:t>Eq.(B3.2)</w:t>
      </w:r>
      <w:r w:rsidRPr="007C17A6">
        <w:rPr>
          <w:rFonts w:ascii="Times New Roman" w:hAnsi="Times New Roman" w:cs="Times New Roman"/>
          <w:sz w:val="24"/>
          <w:szCs w:val="24"/>
          <w:lang w:val="en-GB" w:eastAsia="en-GB"/>
        </w:rPr>
        <w:tab/>
        <w:t>Rate-estimate time constant</w:t>
      </w:r>
      <w:r w:rsidRPr="007C17A6">
        <w:rPr>
          <w:sz w:val="24"/>
          <w:szCs w:val="24"/>
          <w:lang w:val="en-GB" w:eastAsia="en-GB"/>
        </w:rPr>
        <w:t xml:space="preserve"> </w:t>
      </w:r>
      <w:r w:rsidRPr="007C17A6">
        <w:rPr>
          <w:sz w:val="24"/>
          <w:szCs w:val="24"/>
          <w:lang w:val="en-GB" w:eastAsia="en-GB"/>
        </w:rPr>
        <w:tab/>
      </w:r>
      <w:r w:rsidRPr="007C17A6">
        <w:rPr>
          <w:sz w:val="24"/>
          <w:szCs w:val="24"/>
          <w:lang w:val="en-GB" w:eastAsia="en-GB"/>
        </w:rPr>
        <w:tab/>
      </w:r>
      <w:r w:rsidRPr="007C17A6">
        <w:rPr>
          <w:rFonts w:ascii="Symbol" w:eastAsia="Symbol" w:hAnsi="Symbol" w:cs="Symbol"/>
          <w:i/>
          <w:sz w:val="24"/>
          <w:szCs w:val="24"/>
          <w:lang w:val="en-GB" w:eastAsia="en-GB"/>
        </w:rPr>
        <w:t></w:t>
      </w:r>
      <w:proofErr w:type="spellStart"/>
      <w:r w:rsidRPr="007C17A6">
        <w:rPr>
          <w:i/>
          <w:sz w:val="24"/>
          <w:szCs w:val="24"/>
          <w:vertAlign w:val="subscript"/>
          <w:lang w:val="en-GB" w:eastAsia="en-GB"/>
        </w:rPr>
        <w:t>Favg</w:t>
      </w:r>
      <w:proofErr w:type="spellEnd"/>
      <w:r w:rsidRPr="007C17A6">
        <w:rPr>
          <w:sz w:val="24"/>
          <w:szCs w:val="24"/>
          <w:vertAlign w:val="subscript"/>
          <w:lang w:val="en-GB" w:eastAsia="en-GB"/>
        </w:rPr>
        <w:t xml:space="preserve"> </w:t>
      </w:r>
      <w:r w:rsidRPr="007C17A6">
        <w:rPr>
          <w:sz w:val="24"/>
          <w:szCs w:val="24"/>
          <w:lang w:val="en-GB" w:eastAsia="en-GB"/>
        </w:rPr>
        <w:t>= 30 (time steps)</w:t>
      </w:r>
    </w:p>
    <w:p w14:paraId="5008626B" w14:textId="77777777" w:rsidR="00B30D84" w:rsidRPr="007C17A6" w:rsidRDefault="00B30D84" w:rsidP="00E740D6">
      <w:pPr>
        <w:spacing w:after="0" w:line="360" w:lineRule="auto"/>
        <w:ind w:firstLine="142"/>
        <w:contextualSpacing/>
        <w:jc w:val="both"/>
      </w:pPr>
      <w:r w:rsidRPr="007C17A6">
        <w:rPr>
          <w:rFonts w:ascii="Times New Roman" w:hAnsi="Times New Roman" w:cs="Times New Roman"/>
          <w:sz w:val="24"/>
          <w:szCs w:val="24"/>
          <w:lang w:val="en-GB" w:eastAsia="en-GB"/>
        </w:rPr>
        <w:lastRenderedPageBreak/>
        <w:t xml:space="preserve">Eq.(B3.3) </w:t>
      </w:r>
      <w:r w:rsidRPr="007C17A6">
        <w:rPr>
          <w:rFonts w:ascii="Times New Roman" w:hAnsi="Times New Roman" w:cs="Times New Roman"/>
          <w:sz w:val="24"/>
          <w:szCs w:val="24"/>
          <w:lang w:val="en-GB" w:eastAsia="en-GB"/>
        </w:rPr>
        <w:tab/>
        <w:t>Global inhibition time constant</w:t>
      </w:r>
      <w:r w:rsidRPr="007C17A6">
        <w:rPr>
          <w:sz w:val="24"/>
          <w:szCs w:val="24"/>
          <w:lang w:val="en-GB" w:eastAsia="en-GB"/>
        </w:rPr>
        <w:t xml:space="preserve"> </w:t>
      </w:r>
      <w:r w:rsidRPr="007C17A6">
        <w:rPr>
          <w:sz w:val="24"/>
          <w:szCs w:val="24"/>
          <w:lang w:val="en-GB" w:eastAsia="en-GB"/>
        </w:rPr>
        <w:tab/>
      </w:r>
      <w:r w:rsidRPr="007C17A6">
        <w:rPr>
          <w:rFonts w:ascii="Symbol" w:eastAsia="Symbol" w:hAnsi="Symbol" w:cs="Symbol"/>
          <w:i/>
          <w:sz w:val="24"/>
          <w:szCs w:val="24"/>
          <w:lang w:val="en-GB" w:eastAsia="en-GB"/>
        </w:rPr>
        <w:t></w:t>
      </w:r>
      <w:r w:rsidRPr="007C17A6">
        <w:rPr>
          <w:i/>
          <w:sz w:val="24"/>
          <w:szCs w:val="24"/>
          <w:vertAlign w:val="subscript"/>
          <w:lang w:val="en-GB" w:eastAsia="en-GB"/>
        </w:rPr>
        <w:t>GLOB</w:t>
      </w:r>
      <w:r w:rsidRPr="007C17A6">
        <w:rPr>
          <w:sz w:val="24"/>
          <w:szCs w:val="24"/>
          <w:vertAlign w:val="subscript"/>
          <w:lang w:val="en-GB" w:eastAsia="en-GB"/>
        </w:rPr>
        <w:t xml:space="preserve"> </w:t>
      </w:r>
      <w:r w:rsidRPr="007C17A6">
        <w:rPr>
          <w:sz w:val="24"/>
          <w:szCs w:val="24"/>
          <w:lang w:val="en-GB" w:eastAsia="en-GB"/>
        </w:rPr>
        <w:t>= 12 (time steps)</w:t>
      </w:r>
    </w:p>
    <w:p w14:paraId="6CB481CE" w14:textId="77777777" w:rsidR="00B30D84" w:rsidRPr="007C17A6" w:rsidRDefault="00B30D84" w:rsidP="00E740D6">
      <w:pPr>
        <w:spacing w:after="0" w:line="360" w:lineRule="auto"/>
        <w:ind w:left="1440" w:hanging="1298"/>
        <w:contextualSpacing/>
        <w:jc w:val="both"/>
        <w:rPr>
          <w:rFonts w:ascii="Times New Roman" w:hAnsi="Times New Roman" w:cs="Times New Roman"/>
          <w:sz w:val="24"/>
          <w:szCs w:val="24"/>
          <w:lang w:val="en-GB" w:eastAsia="en-GB"/>
        </w:rPr>
      </w:pPr>
      <w:r w:rsidRPr="007C17A6">
        <w:rPr>
          <w:rFonts w:ascii="Times New Roman" w:hAnsi="Times New Roman" w:cs="Times New Roman"/>
          <w:sz w:val="24"/>
          <w:szCs w:val="24"/>
          <w:lang w:val="en-GB" w:eastAsia="en-GB"/>
        </w:rPr>
        <w:t xml:space="preserve">Eq.(B4) </w:t>
      </w:r>
      <w:r w:rsidRPr="007C17A6">
        <w:rPr>
          <w:rFonts w:ascii="Times New Roman" w:hAnsi="Times New Roman" w:cs="Times New Roman"/>
          <w:sz w:val="24"/>
          <w:szCs w:val="24"/>
          <w:lang w:val="en-GB" w:eastAsia="en-GB"/>
        </w:rPr>
        <w:tab/>
        <w:t xml:space="preserve">Postsynaptic membrane potential thresholds: </w:t>
      </w:r>
    </w:p>
    <w:p w14:paraId="63E49AFE" w14:textId="77777777" w:rsidR="00B30D84" w:rsidRPr="007C17A6" w:rsidRDefault="00B30D84" w:rsidP="00E740D6">
      <w:pPr>
        <w:spacing w:after="0" w:line="360" w:lineRule="auto"/>
        <w:ind w:left="4320" w:firstLine="720"/>
        <w:contextualSpacing/>
        <w:jc w:val="both"/>
      </w:pPr>
      <w:r w:rsidRPr="007C17A6">
        <w:rPr>
          <w:i/>
          <w:sz w:val="24"/>
          <w:szCs w:val="24"/>
          <w:lang w:val="en-GB" w:eastAsia="en-GB"/>
        </w:rPr>
        <w:t>θ</w:t>
      </w:r>
      <w:r w:rsidRPr="007C17A6">
        <w:rPr>
          <w:i/>
          <w:sz w:val="24"/>
          <w:szCs w:val="24"/>
          <w:vertAlign w:val="subscript"/>
          <w:lang w:val="en-GB" w:eastAsia="en-GB"/>
        </w:rPr>
        <w:t>+</w:t>
      </w:r>
      <w:r w:rsidRPr="007C17A6">
        <w:rPr>
          <w:sz w:val="24"/>
          <w:szCs w:val="24"/>
          <w:lang w:val="en-GB" w:eastAsia="en-GB"/>
        </w:rPr>
        <w:t>=0.15</w:t>
      </w:r>
    </w:p>
    <w:p w14:paraId="541AF67C" w14:textId="77777777" w:rsidR="00B30D84" w:rsidRPr="007C17A6" w:rsidRDefault="00B30D84" w:rsidP="00E740D6">
      <w:pPr>
        <w:spacing w:after="0" w:line="360" w:lineRule="auto"/>
        <w:ind w:left="4320" w:firstLine="720"/>
        <w:contextualSpacing/>
        <w:jc w:val="both"/>
      </w:pPr>
      <w:r w:rsidRPr="007C17A6">
        <w:rPr>
          <w:i/>
          <w:sz w:val="24"/>
          <w:szCs w:val="24"/>
          <w:lang w:val="en-GB" w:eastAsia="en-GB"/>
        </w:rPr>
        <w:t>θ</w:t>
      </w:r>
      <w:r w:rsidRPr="007C17A6">
        <w:rPr>
          <w:i/>
          <w:sz w:val="24"/>
          <w:szCs w:val="24"/>
          <w:vertAlign w:val="subscript"/>
          <w:lang w:val="en-GB" w:eastAsia="en-GB"/>
        </w:rPr>
        <w:t>–</w:t>
      </w:r>
      <w:r w:rsidRPr="007C17A6">
        <w:rPr>
          <w:sz w:val="24"/>
          <w:szCs w:val="24"/>
          <w:lang w:val="en-GB" w:eastAsia="en-GB"/>
        </w:rPr>
        <w:t>=0.14</w:t>
      </w:r>
    </w:p>
    <w:p w14:paraId="296EE8B0" w14:textId="77777777" w:rsidR="00B30D84" w:rsidRPr="007C17A6" w:rsidRDefault="00B30D84" w:rsidP="00E740D6">
      <w:pPr>
        <w:spacing w:after="0" w:line="360" w:lineRule="auto"/>
        <w:ind w:left="720" w:firstLine="720"/>
        <w:contextualSpacing/>
        <w:jc w:val="both"/>
        <w:rPr>
          <w:rFonts w:ascii="Times New Roman" w:hAnsi="Times New Roman" w:cs="Times New Roman"/>
          <w:sz w:val="24"/>
          <w:szCs w:val="24"/>
          <w:lang w:val="en-GB" w:eastAsia="en-GB"/>
        </w:rPr>
      </w:pPr>
      <w:r w:rsidRPr="007C17A6">
        <w:rPr>
          <w:rFonts w:ascii="Times New Roman" w:hAnsi="Times New Roman" w:cs="Times New Roman"/>
          <w:sz w:val="24"/>
          <w:szCs w:val="24"/>
          <w:lang w:val="en-GB" w:eastAsia="en-GB"/>
        </w:rPr>
        <w:t xml:space="preserve">Presynaptic output activity required for LTP: </w:t>
      </w:r>
    </w:p>
    <w:p w14:paraId="1EE16229" w14:textId="77777777" w:rsidR="00B30D84" w:rsidRPr="007C17A6" w:rsidRDefault="00B30D84" w:rsidP="00E740D6">
      <w:pPr>
        <w:spacing w:after="0" w:line="360" w:lineRule="auto"/>
        <w:ind w:left="4320" w:firstLine="720"/>
        <w:contextualSpacing/>
        <w:jc w:val="both"/>
      </w:pPr>
      <w:r w:rsidRPr="007C17A6">
        <w:rPr>
          <w:i/>
          <w:sz w:val="24"/>
          <w:szCs w:val="24"/>
          <w:lang w:val="en-GB" w:eastAsia="en-GB"/>
        </w:rPr>
        <w:t>θ</w:t>
      </w:r>
      <w:r w:rsidRPr="007C17A6">
        <w:rPr>
          <w:i/>
          <w:sz w:val="24"/>
          <w:szCs w:val="24"/>
          <w:vertAlign w:val="subscript"/>
          <w:lang w:val="en-GB" w:eastAsia="en-GB"/>
        </w:rPr>
        <w:t>pre</w:t>
      </w:r>
      <w:r w:rsidRPr="007C17A6">
        <w:rPr>
          <w:sz w:val="24"/>
          <w:szCs w:val="24"/>
          <w:lang w:val="en-GB" w:eastAsia="en-GB"/>
        </w:rPr>
        <w:t>=0.05</w:t>
      </w:r>
    </w:p>
    <w:p w14:paraId="477F778A" w14:textId="77777777" w:rsidR="00B30D84" w:rsidRPr="007C17A6" w:rsidRDefault="00B30D84" w:rsidP="00E740D6">
      <w:pPr>
        <w:spacing w:line="360" w:lineRule="auto"/>
        <w:ind w:left="720" w:firstLine="720"/>
        <w:contextualSpacing/>
        <w:rPr>
          <w:sz w:val="24"/>
          <w:szCs w:val="24"/>
          <w:lang w:val="en-GB" w:eastAsia="en-GB"/>
        </w:rPr>
      </w:pPr>
      <w:r w:rsidRPr="007C17A6">
        <w:rPr>
          <w:rFonts w:ascii="Times New Roman" w:hAnsi="Times New Roman" w:cs="Times New Roman"/>
          <w:sz w:val="24"/>
          <w:szCs w:val="24"/>
          <w:lang w:val="en-GB" w:eastAsia="en-GB"/>
        </w:rPr>
        <w:t xml:space="preserve">Learning rate </w:t>
      </w:r>
      <w:r w:rsidRPr="007C17A6">
        <w:rPr>
          <w:rFonts w:ascii="Times New Roman" w:hAnsi="Times New Roman" w:cs="Times New Roman"/>
          <w:sz w:val="24"/>
          <w:szCs w:val="24"/>
          <w:lang w:val="en-GB" w:eastAsia="en-GB"/>
        </w:rPr>
        <w:tab/>
      </w:r>
      <w:r w:rsidRPr="007C17A6">
        <w:rPr>
          <w:rFonts w:ascii="Times New Roman" w:hAnsi="Times New Roman" w:cs="Times New Roman"/>
          <w:sz w:val="24"/>
          <w:szCs w:val="24"/>
          <w:lang w:val="en-GB" w:eastAsia="en-GB"/>
        </w:rPr>
        <w:tab/>
      </w:r>
      <w:r w:rsidRPr="007C17A6">
        <w:rPr>
          <w:sz w:val="24"/>
          <w:szCs w:val="24"/>
          <w:lang w:val="en-GB" w:eastAsia="en-GB"/>
        </w:rPr>
        <w:tab/>
      </w:r>
      <w:r w:rsidRPr="007C17A6">
        <w:rPr>
          <w:sz w:val="24"/>
          <w:szCs w:val="24"/>
          <w:lang w:val="en-GB" w:eastAsia="en-GB"/>
        </w:rPr>
        <w:tab/>
        <w:t>Δ = 0.0008</w:t>
      </w:r>
    </w:p>
    <w:p w14:paraId="15853BE3" w14:textId="77777777" w:rsidR="00A838DC" w:rsidRPr="007C17A6" w:rsidRDefault="00A838DC" w:rsidP="00E740D6">
      <w:pPr>
        <w:spacing w:line="240" w:lineRule="auto"/>
        <w:contextualSpacing/>
        <w:rPr>
          <w:rFonts w:ascii="Times New Roman" w:hAnsi="Times New Roman" w:cs="Times New Roman"/>
          <w:sz w:val="24"/>
          <w:szCs w:val="24"/>
          <w:lang w:val="en-GB"/>
        </w:rPr>
      </w:pPr>
    </w:p>
    <w:p w14:paraId="33573421" w14:textId="77777777" w:rsidR="00A838DC" w:rsidRPr="007C17A6" w:rsidRDefault="00E5421A" w:rsidP="00E740D6">
      <w:pPr>
        <w:pStyle w:val="Heading2"/>
        <w:spacing w:before="120" w:after="120" w:line="240" w:lineRule="auto"/>
        <w:contextualSpacing/>
        <w:rPr>
          <w:rFonts w:ascii="Times New Roman" w:hAnsi="Times New Roman" w:cs="Times New Roman"/>
          <w:b/>
          <w:color w:val="00000A"/>
          <w:sz w:val="24"/>
          <w:szCs w:val="24"/>
        </w:rPr>
      </w:pPr>
      <w:r w:rsidRPr="007C17A6">
        <w:rPr>
          <w:rFonts w:ascii="Times New Roman" w:hAnsi="Times New Roman" w:cs="Times New Roman"/>
          <w:b/>
          <w:color w:val="00000A"/>
          <w:sz w:val="24"/>
          <w:szCs w:val="24"/>
        </w:rPr>
        <w:t xml:space="preserve">Simulated brain areas and their connectivity structure </w:t>
      </w:r>
    </w:p>
    <w:p w14:paraId="488DC95F" w14:textId="5CA61109" w:rsidR="001B70BA" w:rsidRPr="007C17A6" w:rsidRDefault="00E5421A" w:rsidP="001B70BA">
      <w:pPr>
        <w:spacing w:after="0" w:line="240" w:lineRule="auto"/>
        <w:contextualSpacing/>
        <w:jc w:val="both"/>
        <w:rPr>
          <w:rFonts w:ascii="Times New Roman" w:hAnsi="Times New Roman" w:cs="Times New Roman"/>
          <w:color w:val="000000" w:themeColor="text1"/>
          <w:sz w:val="24"/>
          <w:szCs w:val="24"/>
          <w:lang w:val="en-GB"/>
        </w:rPr>
      </w:pPr>
      <w:r w:rsidRPr="007C17A6">
        <w:rPr>
          <w:rFonts w:ascii="Times New Roman" w:hAnsi="Times New Roman" w:cs="Times New Roman"/>
          <w:color w:val="000000" w:themeColor="text1"/>
          <w:sz w:val="24"/>
          <w:szCs w:val="24"/>
          <w:lang w:val="en-GB"/>
        </w:rPr>
        <w:t xml:space="preserve">The spiking model </w:t>
      </w:r>
      <w:r w:rsidRPr="007C17A6">
        <w:rPr>
          <w:rFonts w:ascii="Times New Roman" w:hAnsi="Times New Roman" w:cs="Times New Roman"/>
          <w:color w:val="000000" w:themeColor="text1"/>
          <w:sz w:val="24"/>
          <w:szCs w:val="24"/>
          <w:lang w:val="en-GB" w:eastAsia="zh-CN"/>
        </w:rPr>
        <w:t xml:space="preserve">mimics 12 different cortical areas </w:t>
      </w:r>
      <w:r w:rsidRPr="007C17A6">
        <w:rPr>
          <w:rFonts w:ascii="Times New Roman" w:eastAsia="Times New Roman" w:hAnsi="Times New Roman" w:cs="Times New Roman"/>
          <w:color w:val="000000" w:themeColor="text1"/>
          <w:sz w:val="24"/>
          <w:szCs w:val="24"/>
          <w:shd w:val="clear" w:color="auto" w:fill="FFFFFF"/>
          <w:lang w:val="en-GB" w:eastAsia="it-IT"/>
        </w:rPr>
        <w:t xml:space="preserve">with area-intrinsic connections and mutual connections between them. Six areas were modelled for the </w:t>
      </w:r>
      <w:r w:rsidRPr="007C17A6">
        <w:rPr>
          <w:rFonts w:ascii="Times New Roman" w:hAnsi="Times New Roman" w:cs="Times New Roman"/>
          <w:color w:val="000000" w:themeColor="text1"/>
          <w:sz w:val="24"/>
          <w:szCs w:val="24"/>
          <w:lang w:val="en-GB" w:eastAsia="zh-CN"/>
        </w:rPr>
        <w:t xml:space="preserve">left-perisylvian language cortex including </w:t>
      </w:r>
      <w:r w:rsidRPr="007C17A6">
        <w:rPr>
          <w:rFonts w:ascii="Times New Roman" w:hAnsi="Times New Roman" w:cs="Times New Roman"/>
          <w:color w:val="000000" w:themeColor="text1"/>
          <w:sz w:val="24"/>
          <w:szCs w:val="24"/>
          <w:lang w:val="en-GB"/>
        </w:rPr>
        <w:t xml:space="preserve">the primary auditory cortex (A1), auditory belt (AB), and modality-general </w:t>
      </w:r>
      <w:r w:rsidRPr="007C17A6">
        <w:rPr>
          <w:rFonts w:ascii="Times New Roman" w:hAnsi="Times New Roman" w:cs="Times New Roman"/>
          <w:noProof/>
          <w:color w:val="000000" w:themeColor="text1"/>
          <w:sz w:val="24"/>
          <w:szCs w:val="24"/>
          <w:lang w:val="en-GB"/>
        </w:rPr>
        <w:t>parabelt</w:t>
      </w:r>
      <w:r w:rsidRPr="007C17A6">
        <w:rPr>
          <w:rFonts w:ascii="Times New Roman" w:hAnsi="Times New Roman" w:cs="Times New Roman"/>
          <w:color w:val="000000" w:themeColor="text1"/>
          <w:sz w:val="24"/>
          <w:szCs w:val="24"/>
          <w:lang w:val="en-GB"/>
        </w:rPr>
        <w:t xml:space="preserve"> areas (PB) constituting the auditory system, and the inferior part of primary motor cortex (M1</w:t>
      </w:r>
      <w:r w:rsidRPr="007C17A6">
        <w:rPr>
          <w:rFonts w:ascii="Times New Roman" w:hAnsi="Times New Roman" w:cs="Times New Roman"/>
          <w:color w:val="000000" w:themeColor="text1"/>
          <w:sz w:val="24"/>
          <w:szCs w:val="24"/>
          <w:vertAlign w:val="subscript"/>
          <w:lang w:val="en-GB"/>
        </w:rPr>
        <w:t>i</w:t>
      </w:r>
      <w:r w:rsidRPr="007C17A6">
        <w:rPr>
          <w:rFonts w:ascii="Times New Roman" w:hAnsi="Times New Roman" w:cs="Times New Roman"/>
          <w:color w:val="000000" w:themeColor="text1"/>
          <w:sz w:val="24"/>
          <w:szCs w:val="24"/>
          <w:lang w:val="en-GB"/>
        </w:rPr>
        <w:t>), inferior premotor (</w:t>
      </w:r>
      <w:proofErr w:type="spellStart"/>
      <w:r w:rsidRPr="007C17A6">
        <w:rPr>
          <w:rFonts w:ascii="Times New Roman" w:hAnsi="Times New Roman" w:cs="Times New Roman"/>
          <w:noProof/>
          <w:color w:val="000000" w:themeColor="text1"/>
          <w:sz w:val="24"/>
          <w:szCs w:val="24"/>
          <w:lang w:val="en-GB"/>
        </w:rPr>
        <w:t>PM</w:t>
      </w:r>
      <w:r w:rsidRPr="007C17A6">
        <w:rPr>
          <w:rFonts w:ascii="Times New Roman" w:hAnsi="Times New Roman" w:cs="Times New Roman"/>
          <w:noProof/>
          <w:color w:val="000000" w:themeColor="text1"/>
          <w:sz w:val="24"/>
          <w:szCs w:val="24"/>
          <w:vertAlign w:val="subscript"/>
          <w:lang w:val="en-GB"/>
        </w:rPr>
        <w:t>i</w:t>
      </w:r>
      <w:proofErr w:type="spellEnd"/>
      <w:r w:rsidRPr="007C17A6">
        <w:rPr>
          <w:rFonts w:ascii="Times New Roman" w:hAnsi="Times New Roman" w:cs="Times New Roman"/>
          <w:color w:val="000000" w:themeColor="text1"/>
          <w:sz w:val="24"/>
          <w:szCs w:val="24"/>
          <w:lang w:val="en-GB"/>
        </w:rPr>
        <w:t>) and multimodal prefrontal motor cortex (</w:t>
      </w:r>
      <w:proofErr w:type="spellStart"/>
      <w:r w:rsidRPr="007C17A6">
        <w:rPr>
          <w:rFonts w:ascii="Times New Roman" w:hAnsi="Times New Roman" w:cs="Times New Roman"/>
          <w:noProof/>
          <w:color w:val="000000" w:themeColor="text1"/>
          <w:sz w:val="24"/>
          <w:szCs w:val="24"/>
          <w:lang w:val="en-GB"/>
        </w:rPr>
        <w:t>PF</w:t>
      </w:r>
      <w:r w:rsidRPr="007C17A6">
        <w:rPr>
          <w:rFonts w:ascii="Times New Roman" w:hAnsi="Times New Roman" w:cs="Times New Roman"/>
          <w:noProof/>
          <w:color w:val="000000" w:themeColor="text1"/>
          <w:sz w:val="24"/>
          <w:szCs w:val="24"/>
          <w:vertAlign w:val="subscript"/>
          <w:lang w:val="en-GB"/>
        </w:rPr>
        <w:t>i</w:t>
      </w:r>
      <w:proofErr w:type="spellEnd"/>
      <w:r w:rsidRPr="007C17A6">
        <w:rPr>
          <w:rFonts w:ascii="Times New Roman" w:hAnsi="Times New Roman" w:cs="Times New Roman"/>
          <w:color w:val="000000" w:themeColor="text1"/>
          <w:sz w:val="24"/>
          <w:szCs w:val="24"/>
          <w:lang w:val="en-GB"/>
        </w:rPr>
        <w:t>) representing the articulatory system (i.e. inferior face-motor areas). Additional</w:t>
      </w:r>
      <w:r w:rsidR="00D54BE4" w:rsidRPr="007C17A6">
        <w:rPr>
          <w:rFonts w:ascii="Times New Roman" w:hAnsi="Times New Roman" w:cs="Times New Roman"/>
          <w:color w:val="000000" w:themeColor="text1"/>
          <w:sz w:val="24"/>
          <w:szCs w:val="24"/>
          <w:lang w:val="en-GB"/>
        </w:rPr>
        <w:t>ly,</w:t>
      </w:r>
      <w:r w:rsidRPr="007C17A6">
        <w:rPr>
          <w:rFonts w:ascii="Times New Roman" w:hAnsi="Times New Roman" w:cs="Times New Roman"/>
          <w:color w:val="000000" w:themeColor="text1"/>
          <w:sz w:val="24"/>
          <w:szCs w:val="24"/>
          <w:lang w:val="en-GB"/>
        </w:rPr>
        <w:t xml:space="preserve"> six extrasylvian areas </w:t>
      </w:r>
      <w:r w:rsidRPr="007C17A6">
        <w:rPr>
          <w:rFonts w:ascii="Times New Roman" w:hAnsi="Times New Roman" w:cs="Times New Roman"/>
          <w:noProof/>
          <w:color w:val="000000" w:themeColor="text1"/>
          <w:sz w:val="24"/>
          <w:szCs w:val="24"/>
          <w:lang w:val="en-GB"/>
        </w:rPr>
        <w:t>were mode</w:t>
      </w:r>
      <w:r w:rsidR="00D905DF" w:rsidRPr="007C17A6">
        <w:rPr>
          <w:rFonts w:ascii="Times New Roman" w:hAnsi="Times New Roman" w:cs="Times New Roman"/>
          <w:noProof/>
          <w:color w:val="000000" w:themeColor="text1"/>
          <w:sz w:val="24"/>
          <w:szCs w:val="24"/>
          <w:lang w:val="en-GB"/>
        </w:rPr>
        <w:t>l</w:t>
      </w:r>
      <w:r w:rsidRPr="007C17A6">
        <w:rPr>
          <w:rFonts w:ascii="Times New Roman" w:hAnsi="Times New Roman" w:cs="Times New Roman"/>
          <w:noProof/>
          <w:color w:val="000000" w:themeColor="text1"/>
          <w:sz w:val="24"/>
          <w:szCs w:val="24"/>
          <w:lang w:val="en-GB"/>
        </w:rPr>
        <w:t>led</w:t>
      </w:r>
      <w:r w:rsidRPr="007C17A6">
        <w:rPr>
          <w:rFonts w:ascii="Times New Roman" w:hAnsi="Times New Roman" w:cs="Times New Roman"/>
          <w:color w:val="000000" w:themeColor="text1"/>
          <w:sz w:val="24"/>
          <w:szCs w:val="24"/>
          <w:lang w:val="en-GB"/>
        </w:rPr>
        <w:t xml:space="preserve"> including the primary visual cortex (V1), </w:t>
      </w:r>
      <w:r w:rsidRPr="007C17A6">
        <w:rPr>
          <w:rFonts w:ascii="Times New Roman" w:hAnsi="Times New Roman" w:cs="Times New Roman"/>
          <w:noProof/>
          <w:color w:val="000000" w:themeColor="text1"/>
          <w:sz w:val="24"/>
          <w:szCs w:val="24"/>
          <w:lang w:val="en-GB"/>
        </w:rPr>
        <w:t>temporo-occipital</w:t>
      </w:r>
      <w:r w:rsidRPr="007C17A6">
        <w:rPr>
          <w:rFonts w:ascii="Times New Roman" w:hAnsi="Times New Roman" w:cs="Times New Roman"/>
          <w:color w:val="000000" w:themeColor="text1"/>
          <w:sz w:val="24"/>
          <w:szCs w:val="24"/>
          <w:lang w:val="en-GB"/>
        </w:rPr>
        <w:t xml:space="preserve"> (TO) and anterior-temporal areas (AT) for the ventral visual system and the dorsolateral </w:t>
      </w:r>
      <w:r w:rsidRPr="007C17A6">
        <w:rPr>
          <w:rFonts w:ascii="Times New Roman" w:hAnsi="Times New Roman" w:cs="Times New Roman"/>
          <w:noProof/>
          <w:color w:val="000000" w:themeColor="text1"/>
          <w:sz w:val="24"/>
          <w:szCs w:val="24"/>
          <w:lang w:val="en-GB"/>
        </w:rPr>
        <w:t>fronto-central</w:t>
      </w:r>
      <w:r w:rsidRPr="007C17A6">
        <w:rPr>
          <w:rFonts w:ascii="Times New Roman" w:hAnsi="Times New Roman" w:cs="Times New Roman"/>
          <w:color w:val="000000" w:themeColor="text1"/>
          <w:sz w:val="24"/>
          <w:szCs w:val="24"/>
          <w:lang w:val="en-GB"/>
        </w:rPr>
        <w:t xml:space="preserve"> motor (M1</w:t>
      </w:r>
      <w:r w:rsidRPr="007C17A6">
        <w:rPr>
          <w:rFonts w:ascii="Times New Roman" w:hAnsi="Times New Roman" w:cs="Times New Roman"/>
          <w:color w:val="000000" w:themeColor="text1"/>
          <w:sz w:val="24"/>
          <w:szCs w:val="24"/>
          <w:vertAlign w:val="subscript"/>
          <w:lang w:val="en-GB"/>
        </w:rPr>
        <w:t>L</w:t>
      </w:r>
      <w:r w:rsidRPr="007C17A6">
        <w:rPr>
          <w:rFonts w:ascii="Times New Roman" w:hAnsi="Times New Roman" w:cs="Times New Roman"/>
          <w:color w:val="000000" w:themeColor="text1"/>
          <w:sz w:val="24"/>
          <w:szCs w:val="24"/>
          <w:lang w:val="en-GB"/>
        </w:rPr>
        <w:t>), premotor (PM</w:t>
      </w:r>
      <w:r w:rsidRPr="007C17A6">
        <w:rPr>
          <w:rFonts w:ascii="Times New Roman" w:hAnsi="Times New Roman" w:cs="Times New Roman"/>
          <w:color w:val="000000" w:themeColor="text1"/>
          <w:sz w:val="24"/>
          <w:szCs w:val="24"/>
          <w:vertAlign w:val="subscript"/>
          <w:lang w:val="en-GB"/>
        </w:rPr>
        <w:t>L</w:t>
      </w:r>
      <w:r w:rsidRPr="007C17A6">
        <w:rPr>
          <w:rFonts w:ascii="Times New Roman" w:hAnsi="Times New Roman" w:cs="Times New Roman"/>
          <w:color w:val="000000" w:themeColor="text1"/>
          <w:sz w:val="24"/>
          <w:szCs w:val="24"/>
          <w:lang w:val="en-GB"/>
        </w:rPr>
        <w:t>), and prefrontal cortices (PF</w:t>
      </w:r>
      <w:r w:rsidRPr="007C17A6">
        <w:rPr>
          <w:rFonts w:ascii="Times New Roman" w:hAnsi="Times New Roman" w:cs="Times New Roman"/>
          <w:color w:val="000000" w:themeColor="text1"/>
          <w:sz w:val="24"/>
          <w:szCs w:val="24"/>
          <w:vertAlign w:val="subscript"/>
          <w:lang w:val="en-GB"/>
        </w:rPr>
        <w:t>L</w:t>
      </w:r>
      <w:r w:rsidRPr="007C17A6">
        <w:rPr>
          <w:rFonts w:ascii="Times New Roman" w:hAnsi="Times New Roman" w:cs="Times New Roman"/>
          <w:color w:val="000000" w:themeColor="text1"/>
          <w:sz w:val="24"/>
          <w:szCs w:val="24"/>
          <w:lang w:val="en-GB"/>
        </w:rPr>
        <w:t>) for the motor system.</w:t>
      </w:r>
    </w:p>
    <w:p w14:paraId="5F7207B4" w14:textId="77777777" w:rsidR="001B70BA" w:rsidRPr="007C17A6" w:rsidRDefault="001B70BA" w:rsidP="001B70BA">
      <w:pPr>
        <w:spacing w:after="0" w:line="240" w:lineRule="auto"/>
        <w:contextualSpacing/>
        <w:jc w:val="both"/>
        <w:rPr>
          <w:rFonts w:ascii="Times New Roman" w:hAnsi="Times New Roman" w:cs="Times New Roman"/>
          <w:color w:val="000000" w:themeColor="text1"/>
          <w:sz w:val="24"/>
          <w:szCs w:val="24"/>
          <w:lang w:val="en-GB"/>
        </w:rPr>
      </w:pPr>
    </w:p>
    <w:p w14:paraId="24DAF0B4" w14:textId="43D46790" w:rsidR="00CF283A" w:rsidRPr="007C17A6" w:rsidRDefault="00DA59CF" w:rsidP="00F55EF4">
      <w:pPr>
        <w:spacing w:before="120" w:after="120" w:line="240" w:lineRule="auto"/>
        <w:contextualSpacing/>
        <w:jc w:val="both"/>
        <w:rPr>
          <w:rFonts w:ascii="Times New Roman" w:hAnsi="Times New Roman" w:cs="Times New Roman"/>
          <w:sz w:val="24"/>
          <w:szCs w:val="24"/>
          <w:lang w:val="en-GB"/>
        </w:rPr>
      </w:pPr>
      <w:r w:rsidRPr="007C17A6">
        <w:rPr>
          <w:rFonts w:ascii="Times New Roman" w:hAnsi="Times New Roman" w:cs="Times New Roman"/>
          <w:sz w:val="24"/>
          <w:szCs w:val="24"/>
          <w:lang w:val="en-GB"/>
        </w:rPr>
        <w:t xml:space="preserve">The network’s connectivity structure </w:t>
      </w:r>
      <w:r w:rsidRPr="007C17A6">
        <w:rPr>
          <w:rFonts w:ascii="Times New Roman" w:hAnsi="Times New Roman" w:cs="Times New Roman"/>
          <w:sz w:val="24"/>
          <w:szCs w:val="24"/>
          <w:lang w:val="en-GB" w:eastAsia="zh-CN"/>
        </w:rPr>
        <w:t xml:space="preserve">reflects </w:t>
      </w:r>
      <w:r w:rsidR="000A22B8" w:rsidRPr="007C17A6">
        <w:rPr>
          <w:rFonts w:ascii="Times New Roman" w:hAnsi="Times New Roman" w:cs="Times New Roman"/>
          <w:sz w:val="24"/>
          <w:szCs w:val="24"/>
          <w:lang w:val="en-GB" w:eastAsia="zh-CN"/>
        </w:rPr>
        <w:t xml:space="preserve">relevant features of cortical connectivity </w:t>
      </w:r>
      <w:r w:rsidRPr="007C17A6">
        <w:rPr>
          <w:rFonts w:ascii="Times New Roman" w:hAnsi="Times New Roman" w:cs="Times New Roman"/>
          <w:sz w:val="24"/>
          <w:szCs w:val="24"/>
          <w:lang w:val="en-GB" w:eastAsia="zh-CN"/>
        </w:rPr>
        <w:t>between corresponding areas of the cortex.</w:t>
      </w:r>
      <w:r w:rsidRPr="007C17A6">
        <w:rPr>
          <w:rFonts w:ascii="Times New Roman" w:hAnsi="Times New Roman" w:cs="Times New Roman"/>
          <w:sz w:val="24"/>
          <w:szCs w:val="24"/>
          <w:lang w:val="en-GB"/>
        </w:rPr>
        <w:t xml:space="preserve"> </w:t>
      </w:r>
      <w:r w:rsidR="001B70BA" w:rsidRPr="007C17A6">
        <w:rPr>
          <w:rFonts w:ascii="Times New Roman" w:hAnsi="Times New Roman" w:cs="Times New Roman"/>
          <w:sz w:val="24"/>
          <w:szCs w:val="24"/>
          <w:lang w:val="en-GB"/>
        </w:rPr>
        <w:t xml:space="preserve">These </w:t>
      </w:r>
      <w:r w:rsidR="001B70BA" w:rsidRPr="007C17A6">
        <w:rPr>
          <w:rFonts w:ascii="Times New Roman" w:hAnsi="Times New Roman" w:cs="Times New Roman"/>
          <w:noProof/>
          <w:sz w:val="24"/>
          <w:szCs w:val="24"/>
          <w:lang w:val="en-GB"/>
        </w:rPr>
        <w:t>were modelled</w:t>
      </w:r>
      <w:r w:rsidR="001B70BA" w:rsidRPr="007C17A6">
        <w:rPr>
          <w:rFonts w:ascii="Times New Roman" w:hAnsi="Times New Roman" w:cs="Times New Roman"/>
          <w:sz w:val="24"/>
          <w:szCs w:val="24"/>
          <w:lang w:val="en-GB"/>
        </w:rPr>
        <w:t xml:space="preserve"> between neighbour cortical areas within each of the 4 ‘streams’ (see black arrows Fig. 1 a-b) and between all pairs of multimodal areas (PB, </w:t>
      </w:r>
      <w:proofErr w:type="spellStart"/>
      <w:r w:rsidR="001B70BA" w:rsidRPr="007C17A6">
        <w:rPr>
          <w:rFonts w:ascii="Times New Roman" w:hAnsi="Times New Roman" w:cs="Times New Roman"/>
          <w:sz w:val="24"/>
          <w:szCs w:val="24"/>
          <w:lang w:val="en-GB"/>
        </w:rPr>
        <w:t>PF</w:t>
      </w:r>
      <w:r w:rsidR="001B70BA" w:rsidRPr="007C17A6">
        <w:rPr>
          <w:rFonts w:ascii="Times New Roman" w:hAnsi="Times New Roman" w:cs="Times New Roman"/>
          <w:sz w:val="24"/>
          <w:szCs w:val="24"/>
          <w:vertAlign w:val="subscript"/>
          <w:lang w:val="en-GB"/>
        </w:rPr>
        <w:t>i</w:t>
      </w:r>
      <w:proofErr w:type="spellEnd"/>
      <w:r w:rsidR="001B70BA" w:rsidRPr="007C17A6">
        <w:rPr>
          <w:rFonts w:ascii="Times New Roman" w:hAnsi="Times New Roman" w:cs="Times New Roman"/>
          <w:sz w:val="24"/>
          <w:szCs w:val="24"/>
          <w:lang w:val="en-GB"/>
        </w:rPr>
        <w:t>, AT and PF</w:t>
      </w:r>
      <w:r w:rsidR="001B70BA" w:rsidRPr="007C17A6">
        <w:rPr>
          <w:rFonts w:ascii="Times New Roman" w:hAnsi="Times New Roman" w:cs="Times New Roman"/>
          <w:sz w:val="24"/>
          <w:szCs w:val="24"/>
          <w:vertAlign w:val="subscript"/>
          <w:lang w:val="en-GB"/>
        </w:rPr>
        <w:t>L</w:t>
      </w:r>
      <w:r w:rsidR="001B70BA" w:rsidRPr="007C17A6">
        <w:rPr>
          <w:rFonts w:ascii="Times New Roman" w:hAnsi="Times New Roman" w:cs="Times New Roman"/>
          <w:sz w:val="24"/>
          <w:szCs w:val="24"/>
          <w:lang w:val="en-GB"/>
        </w:rPr>
        <w:t xml:space="preserve">) through the long distance cortico-cortical connections (purple arrows). Additionally, non-adjacent ‘jumping’ links </w:t>
      </w:r>
      <w:r w:rsidR="001B70BA" w:rsidRPr="007C17A6">
        <w:rPr>
          <w:rFonts w:ascii="Times New Roman" w:hAnsi="Times New Roman" w:cs="Times New Roman"/>
          <w:noProof/>
          <w:sz w:val="24"/>
          <w:szCs w:val="24"/>
          <w:lang w:val="en-GB"/>
        </w:rPr>
        <w:t>were included</w:t>
      </w:r>
      <w:r w:rsidR="001B70BA" w:rsidRPr="007C17A6">
        <w:rPr>
          <w:rFonts w:ascii="Times New Roman" w:hAnsi="Times New Roman" w:cs="Times New Roman"/>
          <w:sz w:val="24"/>
          <w:szCs w:val="24"/>
          <w:lang w:val="en-GB"/>
        </w:rPr>
        <w:t xml:space="preserve"> within the superior or inferior temporal and superior or inferior frontal cortices (blue arrows).</w:t>
      </w:r>
      <w:r w:rsidRPr="007C17A6">
        <w:rPr>
          <w:rFonts w:ascii="Times New Roman" w:hAnsi="Times New Roman" w:cs="Times New Roman"/>
          <w:sz w:val="24"/>
          <w:szCs w:val="24"/>
          <w:lang w:val="en-GB"/>
        </w:rPr>
        <w:t xml:space="preserve"> The neuroanatomical evidence motivated by studies using diffusion tensor and </w:t>
      </w:r>
      <w:r w:rsidRPr="007C17A6">
        <w:rPr>
          <w:rFonts w:ascii="Times New Roman" w:hAnsi="Times New Roman" w:cs="Times New Roman"/>
          <w:noProof/>
          <w:sz w:val="24"/>
          <w:szCs w:val="24"/>
          <w:lang w:val="en-GB"/>
        </w:rPr>
        <w:t>diffusion-weighted</w:t>
      </w:r>
      <w:r w:rsidRPr="007C17A6">
        <w:rPr>
          <w:rFonts w:ascii="Times New Roman" w:hAnsi="Times New Roman" w:cs="Times New Roman"/>
          <w:sz w:val="24"/>
          <w:szCs w:val="24"/>
          <w:lang w:val="en-GB"/>
        </w:rPr>
        <w:t xml:space="preserve"> imaging (DTI/DWI) in </w:t>
      </w:r>
      <w:r w:rsidRPr="007C17A6">
        <w:rPr>
          <w:rFonts w:ascii="Times New Roman" w:hAnsi="Times New Roman" w:cs="Times New Roman"/>
          <w:noProof/>
          <w:sz w:val="24"/>
          <w:szCs w:val="24"/>
          <w:lang w:val="en-GB"/>
        </w:rPr>
        <w:t>humans</w:t>
      </w:r>
      <w:r w:rsidRPr="007C17A6">
        <w:rPr>
          <w:rFonts w:ascii="Times New Roman" w:hAnsi="Times New Roman" w:cs="Times New Roman"/>
          <w:sz w:val="24"/>
          <w:szCs w:val="24"/>
          <w:lang w:val="en-GB"/>
        </w:rPr>
        <w:t xml:space="preserve"> </w:t>
      </w:r>
      <w:r w:rsidRPr="007C17A6">
        <w:rPr>
          <w:rFonts w:ascii="Times New Roman" w:hAnsi="Times New Roman" w:cs="Times New Roman"/>
          <w:noProof/>
          <w:sz w:val="24"/>
          <w:szCs w:val="24"/>
          <w:lang w:val="en-GB"/>
        </w:rPr>
        <w:t>and</w:t>
      </w:r>
      <w:r w:rsidRPr="007C17A6">
        <w:rPr>
          <w:rFonts w:ascii="Times New Roman" w:hAnsi="Times New Roman" w:cs="Times New Roman"/>
          <w:sz w:val="24"/>
          <w:szCs w:val="24"/>
          <w:lang w:val="en-GB"/>
        </w:rPr>
        <w:t xml:space="preserve"> non-humans primates </w:t>
      </w:r>
      <w:r w:rsidR="00441132" w:rsidRPr="007C17A6">
        <w:rPr>
          <w:rFonts w:ascii="Times New Roman" w:hAnsi="Times New Roman" w:cs="Times New Roman"/>
          <w:noProof/>
          <w:sz w:val="24"/>
          <w:szCs w:val="24"/>
          <w:lang w:val="en-GB"/>
        </w:rPr>
        <w:t xml:space="preserve">are </w:t>
      </w:r>
      <w:r w:rsidRPr="007C17A6">
        <w:rPr>
          <w:rFonts w:ascii="Times New Roman" w:hAnsi="Times New Roman" w:cs="Times New Roman"/>
          <w:noProof/>
          <w:sz w:val="24"/>
          <w:szCs w:val="24"/>
          <w:lang w:val="en-GB"/>
        </w:rPr>
        <w:t>report</w:t>
      </w:r>
      <w:r w:rsidR="00441132" w:rsidRPr="007C17A6">
        <w:rPr>
          <w:rFonts w:ascii="Times New Roman" w:hAnsi="Times New Roman" w:cs="Times New Roman"/>
          <w:noProof/>
          <w:sz w:val="24"/>
          <w:szCs w:val="24"/>
          <w:lang w:val="en-GB"/>
        </w:rPr>
        <w:t>ed</w:t>
      </w:r>
      <w:r w:rsidR="00441132" w:rsidRPr="007C17A6">
        <w:rPr>
          <w:rFonts w:ascii="Times New Roman" w:hAnsi="Times New Roman" w:cs="Times New Roman"/>
          <w:sz w:val="24"/>
          <w:szCs w:val="24"/>
          <w:lang w:val="en-GB"/>
        </w:rPr>
        <w:t xml:space="preserve"> in </w:t>
      </w:r>
      <w:r w:rsidR="00CF283A" w:rsidRPr="007C17A6">
        <w:rPr>
          <w:rFonts w:ascii="Times New Roman" w:hAnsi="Times New Roman" w:cs="Times New Roman"/>
          <w:sz w:val="24"/>
          <w:szCs w:val="24"/>
          <w:lang w:val="en-GB"/>
        </w:rPr>
        <w:t>table</w:t>
      </w:r>
      <w:r w:rsidR="00F55EF4" w:rsidRPr="007C17A6">
        <w:rPr>
          <w:rFonts w:ascii="Times New Roman" w:hAnsi="Times New Roman" w:cs="Times New Roman"/>
          <w:sz w:val="24"/>
          <w:szCs w:val="24"/>
          <w:lang w:val="en-GB"/>
        </w:rPr>
        <w:t xml:space="preserve"> 2</w:t>
      </w:r>
      <w:r w:rsidR="0093255D" w:rsidRPr="007C17A6">
        <w:rPr>
          <w:rFonts w:ascii="Times New Roman" w:hAnsi="Times New Roman" w:cs="Times New Roman"/>
          <w:sz w:val="24"/>
          <w:szCs w:val="24"/>
          <w:lang w:val="en-GB"/>
        </w:rPr>
        <w:t xml:space="preserve"> and</w:t>
      </w:r>
      <w:r w:rsidR="00BC52B9" w:rsidRPr="007C17A6">
        <w:rPr>
          <w:rFonts w:ascii="Times New Roman" w:hAnsi="Times New Roman" w:cs="Times New Roman"/>
          <w:sz w:val="24"/>
          <w:szCs w:val="24"/>
          <w:lang w:val="en-GB"/>
        </w:rPr>
        <w:t xml:space="preserve"> described in</w:t>
      </w:r>
      <w:r w:rsidR="0093255D" w:rsidRPr="007C17A6">
        <w:rPr>
          <w:rFonts w:ascii="Times New Roman" w:hAnsi="Times New Roman" w:cs="Times New Roman"/>
          <w:sz w:val="24"/>
          <w:szCs w:val="24"/>
          <w:lang w:val="en-GB"/>
        </w:rPr>
        <w:t xml:space="preserve"> </w:t>
      </w:r>
      <w:r w:rsidR="0093255D" w:rsidRPr="007C17A6">
        <w:rPr>
          <w:rFonts w:ascii="Times New Roman" w:hAnsi="Times New Roman" w:cs="Times New Roman"/>
          <w:noProof/>
          <w:sz w:val="24"/>
          <w:szCs w:val="24"/>
          <w:lang w:val="en-GB"/>
        </w:rPr>
        <w:t>previous</w:t>
      </w:r>
      <w:r w:rsidR="00BC52B9" w:rsidRPr="007C17A6">
        <w:rPr>
          <w:rFonts w:ascii="Times New Roman" w:hAnsi="Times New Roman" w:cs="Times New Roman"/>
          <w:sz w:val="24"/>
          <w:szCs w:val="24"/>
          <w:lang w:val="en-GB"/>
        </w:rPr>
        <w:t xml:space="preserve"> study</w:t>
      </w:r>
      <w:r w:rsidR="0093255D" w:rsidRPr="007C17A6">
        <w:rPr>
          <w:rFonts w:ascii="Times New Roman" w:hAnsi="Times New Roman" w:cs="Times New Roman"/>
          <w:sz w:val="24"/>
          <w:szCs w:val="24"/>
          <w:lang w:val="en-GB"/>
        </w:rPr>
        <w:t xml:space="preserve"> </w:t>
      </w:r>
      <w:r w:rsidR="0093255D" w:rsidRPr="007C17A6">
        <w:rPr>
          <w:rFonts w:ascii="Times New Roman" w:hAnsi="Times New Roman" w:cs="Times New Roman"/>
          <w:sz w:val="24"/>
          <w:szCs w:val="24"/>
          <w:lang w:val="en-GB"/>
        </w:rPr>
        <w:fldChar w:fldCharType="begin" w:fldLock="1"/>
      </w:r>
      <w:r w:rsidR="007F4106" w:rsidRPr="007C17A6">
        <w:rPr>
          <w:rFonts w:ascii="Times New Roman" w:hAnsi="Times New Roman" w:cs="Times New Roman"/>
          <w:sz w:val="24"/>
          <w:szCs w:val="24"/>
          <w:lang w:val="en-GB"/>
        </w:rPr>
        <w:instrText>ADDIN CSL_CITATION { "citationItems" : [ { "id" : "ITEM-1", "itemData" : { "DOI" : "10.3389/fncom.2016.00145", "ISSN" : "1662-5188", "PMID" : "28149276", "author" : [ { "dropping-particle" : "", "family" : "Garagnani", "given" : "Max", "non-dropping-particle" : "", "parse-names" : false, "suffix" : "" }, { "dropping-particle" : "", "family" : "Lucchese", "given" : "Guglielmo", "non-dropping-particle" : "", "parse-names" : false, "suffix" : "" }, { "dropping-particle" : "", "family" : "Tomasello", "given" : "Rosario",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"Frontiers in Computational Neuroscience", "id" : "ITEM-1", "issue" : "January", "issued" : { "date-parts" : [ [ "2017" ] ] }, "page" : "1-19", "title" : "A Spiking Neurocomputational Model of High-Frequency Oscillatory Brain Responses to Words and Pseudowords", "type" : "article-journal", "volume" : "10" }, "uris" : [ "http://www.mendeley.com/documents/?uuid=26750ad4-228d-4458-a3cd-c12ae2868f3b" ] } ], "mendeley" : { "formattedCitation" : "(Garagnani et al., 2017)", "plainTextFormattedCitation" : "(Garagnani et al., 2017)", "previouslyFormattedCitation" : "(Garagnani et al., 2017)" }, "properties" : {  }, "schema" : "https://github.com/citation-style-language/schema/raw/master/csl-citation.json" }</w:instrText>
      </w:r>
      <w:r w:rsidR="0093255D" w:rsidRPr="007C17A6">
        <w:rPr>
          <w:rFonts w:ascii="Times New Roman" w:hAnsi="Times New Roman" w:cs="Times New Roman"/>
          <w:sz w:val="24"/>
          <w:szCs w:val="24"/>
          <w:lang w:val="en-GB"/>
        </w:rPr>
        <w:fldChar w:fldCharType="separate"/>
      </w:r>
      <w:r w:rsidR="0096169A" w:rsidRPr="007C17A6">
        <w:rPr>
          <w:rFonts w:ascii="Times New Roman" w:hAnsi="Times New Roman" w:cs="Times New Roman"/>
          <w:noProof/>
          <w:sz w:val="24"/>
          <w:szCs w:val="24"/>
          <w:lang w:val="en-GB"/>
        </w:rPr>
        <w:t>(Garagnani et al., 2017)</w:t>
      </w:r>
      <w:r w:rsidR="0093255D" w:rsidRPr="007C17A6">
        <w:rPr>
          <w:rFonts w:ascii="Times New Roman" w:hAnsi="Times New Roman" w:cs="Times New Roman"/>
          <w:sz w:val="24"/>
          <w:szCs w:val="24"/>
          <w:lang w:val="en-GB"/>
        </w:rPr>
        <w:fldChar w:fldCharType="end"/>
      </w:r>
      <w:r w:rsidR="00441132" w:rsidRPr="007C17A6">
        <w:rPr>
          <w:rFonts w:ascii="Times New Roman" w:hAnsi="Times New Roman" w:cs="Times New Roman"/>
          <w:sz w:val="24"/>
          <w:szCs w:val="24"/>
          <w:lang w:val="en-GB"/>
        </w:rPr>
        <w:t>.</w:t>
      </w:r>
    </w:p>
    <w:p w14:paraId="27E7C062" w14:textId="77777777" w:rsidR="00F55EF4" w:rsidRPr="007C17A6" w:rsidRDefault="00F55EF4" w:rsidP="00F55EF4">
      <w:pPr>
        <w:spacing w:before="120" w:after="120" w:line="240" w:lineRule="auto"/>
        <w:contextualSpacing/>
        <w:jc w:val="both"/>
        <w:rPr>
          <w:rFonts w:ascii="Times New Roman" w:hAnsi="Times New Roman" w:cs="Times New Roman"/>
          <w:sz w:val="24"/>
          <w:szCs w:val="24"/>
          <w:lang w:val="en-GB"/>
        </w:rPr>
      </w:pPr>
    </w:p>
    <w:p w14:paraId="74002BC7" w14:textId="6E0574E2" w:rsidR="00F55EF4" w:rsidRPr="007C17A6" w:rsidRDefault="00F55EF4" w:rsidP="00BB04AA">
      <w:pPr>
        <w:rPr>
          <w:rFonts w:ascii="Times New Roman" w:hAnsi="Times New Roman" w:cs="Times New Roman"/>
          <w:b/>
          <w:color w:val="auto"/>
          <w:sz w:val="24"/>
          <w:szCs w:val="24"/>
          <w:lang w:val="en-GB"/>
        </w:rPr>
      </w:pPr>
      <w:r w:rsidRPr="007C17A6">
        <w:rPr>
          <w:rFonts w:ascii="Times New Roman" w:hAnsi="Times New Roman" w:cs="Times New Roman"/>
          <w:b/>
          <w:color w:val="auto"/>
          <w:sz w:val="24"/>
          <w:szCs w:val="24"/>
          <w:lang w:val="en-GB"/>
        </w:rPr>
        <w:t>Table 2: Connectivity structure of the modelled cortical areas</w:t>
      </w:r>
    </w:p>
    <w:tbl>
      <w:tblPr>
        <w:tblStyle w:val="TableGridLight1"/>
        <w:tblW w:w="0" w:type="auto"/>
        <w:tblLook w:val="04A0" w:firstRow="1" w:lastRow="0" w:firstColumn="1" w:lastColumn="0" w:noHBand="0" w:noVBand="1"/>
      </w:tblPr>
      <w:tblGrid>
        <w:gridCol w:w="2155"/>
        <w:gridCol w:w="7195"/>
      </w:tblGrid>
      <w:tr w:rsidR="00BB04AA" w:rsidRPr="007C17A6" w14:paraId="0227F35C" w14:textId="77777777" w:rsidTr="00BB04AA">
        <w:trPr>
          <w:trHeight w:val="413"/>
        </w:trPr>
        <w:tc>
          <w:tcPr>
            <w:tcW w:w="93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A22310" w14:textId="77777777" w:rsidR="00BB04AA" w:rsidRPr="007C17A6" w:rsidRDefault="00BB04AA">
            <w:pPr>
              <w:spacing w:after="0" w:line="240" w:lineRule="auto"/>
              <w:jc w:val="center"/>
              <w:rPr>
                <w:rFonts w:ascii="Times New Roman" w:hAnsi="Times New Roman" w:cs="Times New Roman"/>
                <w:b/>
                <w:sz w:val="26"/>
                <w:szCs w:val="26"/>
              </w:rPr>
            </w:pPr>
            <w:r w:rsidRPr="007C17A6">
              <w:rPr>
                <w:rFonts w:ascii="Times New Roman" w:hAnsi="Times New Roman" w:cs="Times New Roman"/>
                <w:b/>
                <w:sz w:val="26"/>
                <w:szCs w:val="26"/>
              </w:rPr>
              <w:t xml:space="preserve">Between-area connectivity </w:t>
            </w:r>
            <w:r w:rsidRPr="007C17A6">
              <w:rPr>
                <w:rFonts w:ascii="Times New Roman" w:hAnsi="Times New Roman" w:cs="Times New Roman"/>
                <w:sz w:val="26"/>
                <w:szCs w:val="26"/>
              </w:rPr>
              <w:t>(black arrows)</w:t>
            </w:r>
          </w:p>
        </w:tc>
      </w:tr>
      <w:tr w:rsidR="00BB04AA" w:rsidRPr="007C17A6" w14:paraId="282ED2F2"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AFBC08" w14:textId="77777777" w:rsidR="00BB04AA" w:rsidRPr="007C17A6" w:rsidRDefault="00BB04AA">
            <w:pPr>
              <w:spacing w:after="0" w:line="240" w:lineRule="auto"/>
              <w:jc w:val="center"/>
              <w:rPr>
                <w:rFonts w:ascii="Times New Roman" w:hAnsi="Times New Roman" w:cs="Times New Roman"/>
                <w:b/>
                <w:sz w:val="24"/>
                <w:szCs w:val="24"/>
              </w:rPr>
            </w:pPr>
            <w:r w:rsidRPr="007C17A6">
              <w:rPr>
                <w:rFonts w:ascii="Times New Roman" w:hAnsi="Times New Roman" w:cs="Times New Roman"/>
                <w:b/>
                <w:sz w:val="24"/>
                <w:szCs w:val="24"/>
              </w:rPr>
              <w:t>Modelled Areas</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CD4DCE" w14:textId="77777777" w:rsidR="00BB04AA" w:rsidRPr="007C17A6" w:rsidRDefault="00BB04AA">
            <w:pPr>
              <w:spacing w:after="0" w:line="240" w:lineRule="auto"/>
              <w:jc w:val="center"/>
              <w:rPr>
                <w:rFonts w:ascii="Times New Roman" w:hAnsi="Times New Roman" w:cs="Times New Roman"/>
                <w:b/>
                <w:sz w:val="24"/>
                <w:szCs w:val="24"/>
              </w:rPr>
            </w:pPr>
            <w:r w:rsidRPr="007C17A6">
              <w:rPr>
                <w:rFonts w:ascii="Times New Roman" w:hAnsi="Times New Roman" w:cs="Times New Roman"/>
                <w:b/>
                <w:sz w:val="24"/>
                <w:szCs w:val="24"/>
              </w:rPr>
              <w:t>References</w:t>
            </w:r>
          </w:p>
        </w:tc>
      </w:tr>
      <w:tr w:rsidR="00BB04AA" w:rsidRPr="007C17A6" w14:paraId="0EDD6E2A" w14:textId="77777777" w:rsidTr="00BB04AA">
        <w:trPr>
          <w:trHeight w:val="503"/>
        </w:trPr>
        <w:tc>
          <w:tcPr>
            <w:tcW w:w="93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5F521A" w14:textId="38CEBEF2" w:rsidR="00BB04AA" w:rsidRPr="007C17A6" w:rsidRDefault="00BB04AA">
            <w:pPr>
              <w:spacing w:after="0" w:line="240" w:lineRule="auto"/>
              <w:jc w:val="center"/>
              <w:rPr>
                <w:rFonts w:ascii="Times New Roman" w:hAnsi="Times New Roman" w:cs="Times New Roman"/>
                <w:sz w:val="24"/>
                <w:szCs w:val="24"/>
              </w:rPr>
            </w:pPr>
            <w:r w:rsidRPr="007C17A6">
              <w:rPr>
                <w:rFonts w:ascii="Times New Roman" w:hAnsi="Times New Roman" w:cs="Times New Roman"/>
                <w:i/>
                <w:sz w:val="24"/>
                <w:szCs w:val="24"/>
              </w:rPr>
              <w:t>Perisylvian system</w:t>
            </w:r>
            <w:r w:rsidR="00BC52B9" w:rsidRPr="007C17A6">
              <w:rPr>
                <w:rFonts w:ascii="Times New Roman" w:hAnsi="Times New Roman" w:cs="Times New Roman"/>
                <w:i/>
                <w:sz w:val="24"/>
                <w:szCs w:val="24"/>
              </w:rPr>
              <w:t xml:space="preserve"> </w:t>
            </w:r>
          </w:p>
        </w:tc>
      </w:tr>
      <w:tr w:rsidR="00BB04AA" w:rsidRPr="007C17A6" w14:paraId="1D0388A0"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D7F601"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A1, AB, PB</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57FC4" w14:textId="74DC5134"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"10.1073/pnas.97.22.11793", "ISBN" : "0027-8424 (Print)\\r0027-8424 (Linking)", "ISSN" : "0027-8424", "PMID" : "11050211", "abstract" : "The auditory system of monkeys includes a large number of interconnected subcortical nuclei and cortical areas. At subcortical levels, the structural components of the auditory system of monkeys resemble those of nonprimates, but the organization at cortical levels is different. In monkeys, the ventral nucleus of the medial geniculate complex projects in parallel to a core of three primary-like auditory areas, AI, R, and RT, constituting the first stage of cortical processing. These areas interconnect and project to the homotopic and other locations in the opposite cerebral hemisphere and to a surrounding array of eight proposed belt areas as a second stage of cortical processing. The belt areas in turn project in overlapping patterns to a lateral parabelt region with at least rostral and caudal subdivisions as a third stage of cortical processing. The divisions of the parabelt distribute to adjoining auditory and multimodal regions of the temporal lobe and to four functionally distinct regions of the frontal lobe. Histochemically, chimpanzees and humans have an auditory core that closely resembles that of monkeys. The challenge for future researchers is to understand how this complex system in monkeys analyzes and utilizes auditory information.", "author" : [ { "dropping-particle" : "", "family" : "Kaas", "given" : "J H", "non-dropping-particle" : "", "parse-names" : false, "suffix" : "" }, { "dropping-particle" : "", "family" : "Hackett", "given" : "T A", "non-dropping-particle" : "", "parse-names" : false, "suffix" : "" } ], "container-title" : "Proceedings of the National Academy of Sciences of the United States of America", "id" : "ITEM-1", "issue" : "22", "issued" : { "date-parts" : [ [ "2000" ] ] }, "page" : "11793-9", "publisher" : "National Acad Sciences", "title" : "Subdivisions of auditory cortex and processing streams in primates.", "type" : "article-journal", "volume" : "97" }, "uris" : [ "http://www.mendeley.com/documents/?uuid=09348f44-3f12-4008-bdea-113533327a78" ] }, { "id" : "ITEM-2", "itemData" : { "DOI" : "10.1016/B978-0-323-05283-2.00129-4", "ISBN" : "0035-3787 (Print)\\r0035-3787 (Linking)", "ISSN" : "0035-3787", "PMID" : "8578069", "abstract" : "Cortical auditory areas located in the superior temporal region (STR) in monkey and human. The primary auditory area (AI) occupies the cortex of the supratemporal plane (STP) and is surrounded by auditory association areas in circular sulcus and superior temporal gyrus (STG). Architectonic studies have parcellated auditory areas into a number of subregions. Beginning from the temporal polar proisocortex up to the parietal cortex, these areas shows progressive laminar differentiation, and are arranged into three parallel lines. The most medial line occupies the cortex of the circular sulcus. The regions of this line maintains limbic features and is termed as root line. Another line is located in STG. The regions of this line show progressive emphasis in the third and fourth layer neurons and is termed as belt line. Interposed between root and belt line is a core line located in STP. In this line there is greater accumulation of fourth layer neurons. Recent physiological studies have outlined several auditory representations surrounding AI. These auditory representations correspond to above mentioned architectonic subregions of STR. The subregions within each line have bidirectional connectional laminar specificity. The feedforward connections originate from the supragranular layer III and terminate in the around layer IV of the rostrally adjacent region. Feedback projections in contrast stem from the infragranular layers and terminate in layer I. The long association connections of auditory areas are with the prefrontal cortex (PFC), the multimodal areas and the limbic regions, and are derived from belt and root line areas of STR. These projections follow the rostro-caudal architectonic differentiation of STR. Thus the rostral STG areas are mainly connected with orbital and medial PFC areas whereas the caudal STG areas are connected with caudal PFC. The intermediate STG areas are preferentially related to the lateral PFC regions. It seems that STG-PFC connections are between the areas with similar level of architectonic differentiation. The thalamic connections of the subregions of STR also follow the architectonic organizations. The core line areas are preferentially related to ventral nucleus (MGv) of medial geniculate nucleus (MGN) whereas the root and belt line areas are connected respectively to magnocellular (MGmc) and dorsal (MGd) subdivisions of MGN. The root and belt areas share some connections and are also related to pulvinar, suprageniculate,\u2026", "author" : [ { "dropping-particle" : "", "family" : "Pandya", "given" : "D N", "non-dropping-particle" : "", "parse-names" : false, "suffix" : "" } ], "container-title" : "Revue neurologique", "id" : "ITEM-2", "issue" : "617", "issued" : { "date-parts" : [ [ "1995" ] ] }, "page" : "486-494", "title" : "Anatomy of the auditory cortex.", "type" : "article-journal", "volume" : "151" }, "uris" : [ "http://www.mendeley.com/documents/?uuid=2e4529e2-4e0b-4ecc-a15f-28867bc1d915" ] }, { "id" : "ITEM-3", "itemData" : { "DOI" : "10.1073/pnas.97.22.11800", "ISBN" : "0027-8424", "ISSN" : "0027-8424", "PMID" : "11050212", "abstract" : "The functional specialization and hierarchical organization of multiple areas in rhesus monkey auditory cortex were examined with various types of complex sounds. Neurons in the lateral belt areas of the superior temporal gyrus were tuned to the best center frequency and bandwidth of band-passed noise bursts. They were also selective for the rate and direction of linear frequency modulated sweeps. Many neurons showed a preference for a limited number of species-specific vocalizations (\"monkey calls\"). These response selectivities can be explained by nonlinear spectral and temporal integration mechanisms. In a separate series of experiments, monkey calls were presented at different spatial locations, and the tuning of lateral belt neurons to monkey calls and spatial location was determined. Of the three belt areas the anterolateral area shows the highest degree of specificity for monkey calls, whereas neurons in the caudolateral area display the greatest spatial selectivity. We conclude that the cortical auditory system of primates is divided into at least two processing streams, a spatial stream that originates in the caudal part of the superior temporal gyrus and projects to the parietal cortex, and a pattern or object stream originating in the more anterior portions of the lateral belt. A similar division of labor can be seen in human auditory cortex by using functional neuroimaging.", "author" : [ { "dropping-particle" : "", "family" : "Rauschecker", "given" : "J P", "non-dropping-particle" : "", "parse-names" : false, "suffix" : "" }, { "dropping-particle" : "", "family" : "Tian", "given" : "B", "non-dropping-particle" : "", "parse-names" : false, "suffix" : "" } ], "container-title" : "Proceedings of the National Academy of Sciences of the United States of America", "id" : "ITEM-3", "issue" : "22", "issued" : { "date-parts" : [ [ "2000" ] ] }, "page" : "11800-6", "publisher" : "National Acad Sciences", "title" : "Mechanisms and streams for processing of \"what\" and \"where\" in auditory cortex.", "type" : "article-journal", "volume" : "97" }, "uris" : [ "http://www.mendeley.com/documents/?uuid=ec312b25-4925-451e-a8d1-dbd29e3b41f4" ] } ], "mendeley" : { "formattedCitation" : "(Kaas and Hackett, 2000; Pandya, 1995; Rauschecker and Tian, 2000)", "plainTextFormattedCitation" : "(Kaas and Hackett, 2000; Pandya, 1995; Rauschecker and Tian, 2000)", "previouslyFormattedCitation" : "(Kaas and Hackett, 2000; Pandya, 1995; Rauschecker and Tian, 2000)"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67" w:name="__Fieldmark__848_2073936654"/>
            <w:bookmarkStart w:id="68" w:name="__Fieldmark__948_531023477"/>
            <w:bookmarkStart w:id="69" w:name="__Fieldmark__1245_582625014"/>
            <w:r w:rsidRPr="007C17A6">
              <w:rPr>
                <w:rFonts w:ascii="Times New Roman" w:hAnsi="Times New Roman" w:cs="Times New Roman"/>
                <w:noProof/>
                <w:sz w:val="24"/>
                <w:szCs w:val="24"/>
              </w:rPr>
              <w:t>(Kaas and Hackett, 2000; Pandya, 1995; Rauschecker and Tian, 2000)</w:t>
            </w:r>
            <w:r w:rsidRPr="007C17A6">
              <w:rPr>
                <w:rFonts w:ascii="Times New Roman" w:hAnsi="Times New Roman" w:cs="Times New Roman"/>
                <w:sz w:val="24"/>
                <w:szCs w:val="24"/>
              </w:rPr>
              <w:fldChar w:fldCharType="end"/>
            </w:r>
            <w:bookmarkEnd w:id="67"/>
            <w:bookmarkEnd w:id="68"/>
            <w:bookmarkEnd w:id="69"/>
          </w:p>
        </w:tc>
      </w:tr>
      <w:tr w:rsidR="00BB04AA" w:rsidRPr="007C17A6" w14:paraId="6F22DC3D"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9D36DF" w14:textId="77777777" w:rsidR="00BB04AA" w:rsidRPr="007C17A6" w:rsidRDefault="00BB04AA">
            <w:pPr>
              <w:spacing w:after="0" w:line="240" w:lineRule="auto"/>
              <w:rPr>
                <w:rFonts w:ascii="Times New Roman" w:hAnsi="Times New Roman" w:cs="Times New Roman"/>
                <w:sz w:val="24"/>
                <w:szCs w:val="24"/>
                <w:vertAlign w:val="subscript"/>
              </w:rPr>
            </w:pPr>
            <w:r w:rsidRPr="007C17A6">
              <w:rPr>
                <w:rFonts w:ascii="Times New Roman" w:hAnsi="Times New Roman" w:cs="Times New Roman"/>
                <w:noProof/>
                <w:sz w:val="24"/>
                <w:szCs w:val="24"/>
              </w:rPr>
              <w:t>PF</w:t>
            </w:r>
            <w:r w:rsidRPr="007C17A6">
              <w:rPr>
                <w:rFonts w:ascii="Times New Roman" w:hAnsi="Times New Roman" w:cs="Times New Roman"/>
                <w:noProof/>
                <w:sz w:val="24"/>
                <w:szCs w:val="24"/>
                <w:vertAlign w:val="subscript"/>
              </w:rPr>
              <w:t>i</w:t>
            </w:r>
            <w:r w:rsidRPr="007C17A6">
              <w:rPr>
                <w:rFonts w:ascii="Times New Roman" w:hAnsi="Times New Roman" w:cs="Times New Roman"/>
                <w:sz w:val="24"/>
                <w:szCs w:val="24"/>
              </w:rPr>
              <w:t xml:space="preserve">, </w:t>
            </w:r>
            <w:r w:rsidRPr="007C17A6">
              <w:rPr>
                <w:rFonts w:ascii="Times New Roman" w:hAnsi="Times New Roman" w:cs="Times New Roman"/>
                <w:noProof/>
                <w:sz w:val="24"/>
                <w:szCs w:val="24"/>
              </w:rPr>
              <w:t>PM</w:t>
            </w:r>
            <w:r w:rsidRPr="007C17A6">
              <w:rPr>
                <w:rFonts w:ascii="Times New Roman" w:hAnsi="Times New Roman" w:cs="Times New Roman"/>
                <w:noProof/>
                <w:sz w:val="24"/>
                <w:szCs w:val="24"/>
                <w:vertAlign w:val="subscript"/>
              </w:rPr>
              <w:t>i</w:t>
            </w:r>
            <w:r w:rsidRPr="007C17A6">
              <w:rPr>
                <w:rFonts w:ascii="Times New Roman" w:hAnsi="Times New Roman" w:cs="Times New Roman"/>
                <w:sz w:val="24"/>
                <w:szCs w:val="24"/>
              </w:rPr>
              <w:t>, M1</w:t>
            </w:r>
            <w:r w:rsidRPr="007C17A6">
              <w:rPr>
                <w:rFonts w:ascii="Times New Roman" w:hAnsi="Times New Roman" w:cs="Times New Roman"/>
                <w:sz w:val="24"/>
                <w:szCs w:val="24"/>
                <w:vertAlign w:val="subscript"/>
              </w:rPr>
              <w:t>i</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4ECD32" w14:textId="45429D4C"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"10.1007/978-1-4757-9619-3_1", "ISBN" : "978-1-4757-9621-6, 978-1-4757-9619-3", "abstract" : "The execution of behavior depends on the integration of activity at various levels of the central nervous system. Nevertheless, different regions of the nervous system have been shown to participate in specific functions. Whereas, at the cortical level, the primary and secondary sensory areas are involved in the elementary analysis of incoming information, the other regions of the cerebral cortex contribute to a variety of complex processes (Figs. 1 and 2). These latter regions are designated as association areas and may be conceptualized as being interposed between the external and the internal environments (Figs. 1 and 3). These areas are highly developed in primates and have been subdivided on the basis of architecture, their cortical and subcortical connections, and function, into several different types. For example, cortical areas subjacent to the primary sensory regions are termed first-order parasensory areas (Fig. 3), while those beyond the first-order parasensory areas are designated as second-order or third-order association areas (Jones and Powell, 1970a; Chavis and Pandya, 1976). Other cortical regions, which are situated at the junctions of modality-specificregions in parietal, occipital, and temporal cortices (Fig. 4), are termed multi-modal areas (Jones and Powell, 1970a; Seltzer and Pandya, 1976, 1978, 1980). Within the frontal lobe, beyond the motor cortex, a similar categorization of association areas has been identified (Jones and Powell, 1970a; Chavis and Pandya, 1976). Finally, the medial and ventral portions of the cerebral cortex contain groups of specialized regions (Fig. 5) which are termed paralimbic regions (Locke et al., 1964; Yakovlev et al., 1966; Pandya and Seltzer, 1982b).", "author" : [ { "dropping-particle" : "", "family" : "Pandya", "given" : "Deepak N.", "non-dropping-particle" : "", "parse-names" : false, "suffix" : "" }, { "dropping-particle" : "", "family" : "Yeterian", "given" : "Edward H.", "non-dropping-particle" : "", "parse-names" : false, "suffix" : "" } ], "collection-title" : "Cerebral Cortex", "container-title" : "Association and Auditory Cortices SE  - 1", "editor" : [ { "dropping-particle" : "", "family" : "Peters", "given" : "Alan", "non-dropping-particle" : "", "parse-names" : false, "suffix" : "" }, { "dropping-particle" : "", "family" : "Jones", "given" : "EdwardG.", "non-dropping-particle" : "", "parse-names" : false, "suffix" : "" } ], "id" : "ITEM-1", "issued" : { "date-parts" : [ [ "1985" ] ] }, "language" : "English", "page" : "3-61", "publisher" : "Springer US", "title" : "Architecture and Connections of Cortical Association Areas", "type" : "chapter", "volume" : "4" }, "uris" : [ "http://www.mendeley.com/documents/?uuid=dde6a8b0-b6b5-4101-bbe2-80bd3e76f041" ] }, { "id" : "ITEM-2", "itemData" : { "author" : [ { "dropping-particle" : "", "family" : "Young", "given" : "M P", "non-dropping-particle" : "", "parse-names" : false, "suffix" : "" }, { "dropping-particle" : "", "family" : "Scannell", "given" : "J W", "non-dropping-particle" : "", "parse-names" : false, "suffix" : "" }, { "dropping-particle" : "", "family" : "Burns", "given" : "G", "non-dropping-particle" : "", "parse-names" : false, "suffix" : "" } ], "id" : "ITEM-2", "issued" : { "date-parts" : [ [ "1995" ] ] }, "note" : "Reprint Status:  In File", "publisher" : "Springer", "publisher-place" : "Heidelberg", "title" : "The analysis of cortical connectivity", "type" : "book" }, "uris" : [ "http://www.mendeley.com/documents/?uuid=cb0c66b4-daf1-497f-aedb-e3beec43fe3d" ] } ], "mendeley" : { "formattedCitation" : "(Pandya and Yeterian, 1985; Young et al., 1995)", "plainTextFormattedCitation" : "(Pandya and Yeterian, 1985; Young et al., 1995)", "previouslyFormattedCitation" : "(Pandya and Yeterian, 1985; Young et al., 1995)"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70" w:name="__Fieldmark__865_2073936654"/>
            <w:bookmarkStart w:id="71" w:name="__Fieldmark__965_531023477"/>
            <w:bookmarkStart w:id="72" w:name="__Fieldmark__1264_582625014"/>
            <w:r w:rsidRPr="007C17A6">
              <w:rPr>
                <w:rFonts w:ascii="Times New Roman" w:hAnsi="Times New Roman" w:cs="Times New Roman"/>
                <w:noProof/>
                <w:sz w:val="24"/>
                <w:szCs w:val="24"/>
              </w:rPr>
              <w:t>(Pandya and Yeterian, 1985; Young et al., 1995)</w:t>
            </w:r>
            <w:r w:rsidRPr="007C17A6">
              <w:rPr>
                <w:rFonts w:ascii="Times New Roman" w:hAnsi="Times New Roman" w:cs="Times New Roman"/>
                <w:sz w:val="24"/>
                <w:szCs w:val="24"/>
              </w:rPr>
              <w:fldChar w:fldCharType="end"/>
            </w:r>
            <w:bookmarkEnd w:id="70"/>
            <w:bookmarkEnd w:id="71"/>
            <w:bookmarkEnd w:id="72"/>
          </w:p>
        </w:tc>
      </w:tr>
      <w:tr w:rsidR="00BB04AA" w:rsidRPr="007C17A6" w14:paraId="73AE1708"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6811A3" w14:textId="77777777" w:rsidR="00BB04AA" w:rsidRPr="007C17A6" w:rsidRDefault="00BB04AA">
            <w:pPr>
              <w:spacing w:after="0" w:line="240" w:lineRule="auto"/>
              <w:rPr>
                <w:rFonts w:ascii="Times New Roman" w:hAnsi="Times New Roman" w:cs="Times New Roman"/>
                <w:sz w:val="24"/>
                <w:szCs w:val="24"/>
              </w:rPr>
            </w:pP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796F42" w14:textId="77777777" w:rsidR="00BB04AA" w:rsidRPr="007C17A6" w:rsidRDefault="00BB04AA">
            <w:pPr>
              <w:spacing w:after="0" w:line="240" w:lineRule="auto"/>
              <w:rPr>
                <w:rFonts w:ascii="Times New Roman" w:hAnsi="Times New Roman" w:cs="Times New Roman"/>
                <w:sz w:val="24"/>
                <w:szCs w:val="24"/>
              </w:rPr>
            </w:pPr>
          </w:p>
        </w:tc>
      </w:tr>
      <w:tr w:rsidR="00BB04AA" w:rsidRPr="007C17A6" w14:paraId="0DAD62FA" w14:textId="77777777" w:rsidTr="00BB04AA">
        <w:trPr>
          <w:trHeight w:val="422"/>
        </w:trPr>
        <w:tc>
          <w:tcPr>
            <w:tcW w:w="93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B688DC" w14:textId="77777777" w:rsidR="00BB04AA" w:rsidRPr="007C17A6" w:rsidRDefault="00BB04AA">
            <w:pPr>
              <w:spacing w:after="0" w:line="240" w:lineRule="auto"/>
              <w:jc w:val="center"/>
              <w:rPr>
                <w:rFonts w:ascii="Times New Roman" w:hAnsi="Times New Roman" w:cs="Times New Roman"/>
                <w:i/>
                <w:sz w:val="24"/>
                <w:szCs w:val="24"/>
              </w:rPr>
            </w:pPr>
            <w:r w:rsidRPr="007C17A6">
              <w:rPr>
                <w:rFonts w:ascii="Times New Roman" w:hAnsi="Times New Roman" w:cs="Times New Roman"/>
                <w:i/>
                <w:sz w:val="24"/>
                <w:szCs w:val="24"/>
              </w:rPr>
              <w:t>Extrasylvian system</w:t>
            </w:r>
          </w:p>
        </w:tc>
      </w:tr>
      <w:tr w:rsidR="00BB04AA" w:rsidRPr="007C17A6" w14:paraId="33A36DD2"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BAB875"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V1, TO, AT</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433DB7" w14:textId="58418E8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"10.1002/cne.903340111", "ISBN" : "0021-9967 (Print)", "ISSN" : "0021-9967", "PMID" : "8408755", "abstract" : "In macaque monkeys, lesions involving the posterior portion of the inferior temporal cortex, cytoarchitectonic area TEO, produce a severe impairment in visual pattern discrimination. Recently, this area has been shown to contain a complete, though coarse, representation of the contralateral visual field (Boussaoud, Desimone, and Ungerleider: J. Comp. Neurol. 306:554-575, '91). Because the inputs and outputs of area TEO have not yet been fully described, we injected a variety of retrograde and anterograde tracers into 11 physiologically identified sites within TEO of seven rhesus monkeys and analyzed the areal and laminar distribution of its cortical connections. Our results show that TEO receives feedforward, topographically organized inputs from prestriate areas V2, V3, and V4. Additional sparser feedforward inputs arise from areas V3A, V4t, and MT. Each of these inputs is reciprocated by a feedback projection from TEO. TEO was also found to have reciprocal intermediate-type connections with the fundus of the superior temporal area (area FST), cortex in the most posteromedial portion of the superior temporal sulcus (the posterior parietal sulcal zone [area PP]), cortex in the intraparietal sulcus (including the lateral intraparietal area [area LIP]), the frontal eye field, and area TF on the parahippocampal gyrus. The connections with V3A, V4t, and PP were found only after injections in the peripheral field representations of TEO. Finally, TEO was found to project in a feedforward pattern to area TE and to areas anterior to FST on the lateral bank and floor of the superior temporal sulcus (areas TEm, TEa, and IPa, Seltzer and Pandya: Brain Res. 149:1-24, '78), all of which send feedback projections to TEO. Feedback projections also arise from parahippocampal area TH, and areas TG, 36, and possibly 35. These are complemented by only sparse feedforward projections to TG from central field representations in TEO and to TH from peripheral field representations. The results thus indicate that TEO forms an important link in the occipitotemporal pathway for object recognition, sending visual information forward from V1 and prestriate relays in V2-V4 to anterior inferior temporal area TE.", "author" : [ { "dropping-particle" : "", "family" : "Distler", "given" : "C", "non-dropping-particle" : "", "parse-names" : false, "suffix" : "" }, { "dropping-particle" : "", "family" : "Boussaoud", "given" : "D", "non-dropping-particle" : "", "parse-names" : false, "suffix" : "" }, { "dropping-particle" : "", "family" : "Desimone", "given" : "R", "non-dropping-particle" : "", "parse-names" : false, "suffix" : "" }, { "dropping-particle" : "", "family" : "Ungerleider", "given" : "L G", "non-dropping-particle" : "", "parse-names" : false, "suffix" : "" } ], "container-title" : "The Journal of comparative neurology", "id" : "ITEM-1", "issue" : "1", "issued" : { "date-parts" : [ [ "1993" ] ] }, "page" : "125-150", "publisher" : "Wiley Subscription Services, Inc., A Wiley Company", "title" : "Cortical connections of inferior temporal area TEO in macaque monkeys.", "type" : "article-journal", "volume" : "334" }, "uris" : [ "http://www.mendeley.com/documents/?uuid=f47c7c87-5e95-4ac4-918b-f994e4dda724" ] }, { "id" : "ITEM-2", "itemData" : { "DOI" : "10.1038/366153a0", "ISBN" : "0028-0836 (Print)\\r0028-0836", "ISSN" : "0028-0836", "PMID" : "8232553", "abstract" : "The way in which the brain integrates fragmentary neural events at multiple locations to produce unified perceptual experience and behaviour is called the binding problem. Binding has been proposed to involve correlated activity at different cortical sites during perceptuomotor behaviour, particularly by synchronization of narrow-band oscillations in the gamma-frequency range (30-80 Hz). In the rabbit olfactory system, inhalation induces increased gamma-correlation between sites in olfactory bulb and cortex. In the cat visual system, coherent visual stimuli increase gamma-correlation between sites in both the same and different visual cortical areas. In monkeys, some groups have found that gamma-oscillations transiently synchronize within striate cortex, superior temporal sulcus and somatosensorimotor cortex. Others have reported that visual stimuli produce increased broad-band power, but not gamma-oscillations, in several visual cortical areas. But the absence of narrow-band oscillations in itself does not disprove interregional synchronization, which may be a broad-band phenomenon. We now describe episodes of increased broad-band coherence among local field potentials from sensory, motor and higher-order cortical sites of macaque monkeys performing a visual discrimination task. Widely distributed sites become coherent without involving other intervening sites. Spatially selective multiregional cortical binding, in the form of broad-band synchronization, may thus play a role in primate perceptuomotor behaviour.", "author" : [ { "dropping-particle" : "", "family" : "Bressler", "given" : "S L", "non-dropping-particle" : "", "parse-names" : false, "suffix" : "" }, { "dropping-particle" : "", "family" : "Coppola", "given" : "R", "non-dropping-particle" : "", "parse-names" : false, "suffix" : "" }, { "dropping-particle" : "", "family" : "Nakamura", "given" : "R", "non-dropping-particle" : "", "parse-names" : false, "suffix" : "" } ], "container-title" : "Nature", "id" : "ITEM-2", "issue" : "6451", "issued" : { "date-parts" : [ [ "1993" ] ] }, "note" : "intermittent synchrony of gamma band responses in striate, prestriate, inferotemporal, motor, and prefrontal cortices in monkey during a visual memory task\nReprint Status: In File", "page" : "153-156", "title" : "Episodic multiregional cortical coherence at multiple frequencies during visual task performance", "type" : "article-journal", "volume" : "366" }, "uris" : [ "http://www.mendeley.com/documents/?uuid=da95463a-0550-44a9-8028-d89b291cc6ff" ] } ], "mendeley" : { "formattedCitation" : "(Bressler et al., 1993; Distler et al., 1993)", "plainTextFormattedCitation" : "(Bressler et al., 1993; Distler et al., 1993)", "previouslyFormattedCitation" : "(Bressler et al., 1993; Distler et al., 1993)"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73" w:name="__Fieldmark__876_2073936654"/>
            <w:bookmarkStart w:id="74" w:name="__Fieldmark__974_531023477"/>
            <w:bookmarkStart w:id="75" w:name="__Fieldmark__1271_582625014"/>
            <w:r w:rsidRPr="007C17A6">
              <w:rPr>
                <w:rFonts w:ascii="Times New Roman" w:hAnsi="Times New Roman" w:cs="Times New Roman"/>
                <w:noProof/>
                <w:sz w:val="24"/>
                <w:szCs w:val="24"/>
              </w:rPr>
              <w:t>(Bressler et al., 1993; Distler et al., 1993)</w:t>
            </w:r>
            <w:r w:rsidRPr="007C17A6">
              <w:rPr>
                <w:rFonts w:ascii="Times New Roman" w:hAnsi="Times New Roman" w:cs="Times New Roman"/>
                <w:sz w:val="24"/>
                <w:szCs w:val="24"/>
              </w:rPr>
              <w:fldChar w:fldCharType="end"/>
            </w:r>
            <w:bookmarkEnd w:id="73"/>
            <w:bookmarkEnd w:id="74"/>
            <w:bookmarkEnd w:id="75"/>
          </w:p>
        </w:tc>
      </w:tr>
      <w:tr w:rsidR="00BB04AA" w:rsidRPr="007C17A6" w14:paraId="5DF63425"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B8F10D" w14:textId="77777777" w:rsidR="00BB04AA" w:rsidRPr="007C17A6" w:rsidRDefault="00BB04AA">
            <w:pPr>
              <w:spacing w:after="0" w:line="240" w:lineRule="auto"/>
              <w:rPr>
                <w:rFonts w:ascii="Times New Roman" w:hAnsi="Times New Roman" w:cs="Times New Roman"/>
                <w:sz w:val="24"/>
                <w:szCs w:val="24"/>
                <w:vertAlign w:val="subscript"/>
              </w:rPr>
            </w:pPr>
            <w:r w:rsidRPr="007C17A6">
              <w:rPr>
                <w:rFonts w:ascii="Times New Roman" w:hAnsi="Times New Roman" w:cs="Times New Roman"/>
                <w:sz w:val="24"/>
                <w:szCs w:val="24"/>
              </w:rPr>
              <w:lastRenderedPageBreak/>
              <w:t>PF</w:t>
            </w:r>
            <w:r w:rsidRPr="007C17A6">
              <w:rPr>
                <w:rFonts w:ascii="Times New Roman" w:hAnsi="Times New Roman" w:cs="Times New Roman"/>
                <w:sz w:val="24"/>
                <w:szCs w:val="24"/>
                <w:vertAlign w:val="subscript"/>
              </w:rPr>
              <w:t>L</w:t>
            </w:r>
            <w:r w:rsidRPr="007C17A6">
              <w:rPr>
                <w:rFonts w:ascii="Times New Roman" w:hAnsi="Times New Roman" w:cs="Times New Roman"/>
                <w:sz w:val="24"/>
                <w:szCs w:val="24"/>
              </w:rPr>
              <w:t>, PM</w:t>
            </w:r>
            <w:r w:rsidRPr="007C17A6">
              <w:rPr>
                <w:rFonts w:ascii="Times New Roman" w:hAnsi="Times New Roman" w:cs="Times New Roman"/>
                <w:sz w:val="24"/>
                <w:szCs w:val="24"/>
                <w:vertAlign w:val="subscript"/>
              </w:rPr>
              <w:t>L</w:t>
            </w:r>
            <w:r w:rsidRPr="007C17A6">
              <w:rPr>
                <w:rFonts w:ascii="Times New Roman" w:hAnsi="Times New Roman" w:cs="Times New Roman"/>
                <w:sz w:val="24"/>
                <w:szCs w:val="24"/>
              </w:rPr>
              <w:t>, M1</w:t>
            </w:r>
            <w:r w:rsidRPr="007C17A6">
              <w:rPr>
                <w:rFonts w:ascii="Times New Roman" w:hAnsi="Times New Roman" w:cs="Times New Roman"/>
                <w:sz w:val="24"/>
                <w:szCs w:val="24"/>
                <w:vertAlign w:val="subscript"/>
              </w:rPr>
              <w:t>L</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043872" w14:textId="5D534B11"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"10.1002/cne.902770103", "ISBN" : "0021-9967 (Print)", "ISSN" : "0021-9967 (Print)", "PMID" : "2461971", "abstract" : "The corticocortical connections between the arcuate area (Walker's areas 8A and 45 or Brodmann's area 8) and the premotor and supplementary motor areas (Vogts' area 6) in the brain of the macaque monkey were studied microscopically with wheat germ agglutinin-conjugated horseradish peroxidase (WGA-HRP), which was injected into Brodmann's area 8 primarily to elucidate the projections of area 8 into area 6. In addition, in the same material, the pattern of connections between the arcuate area and area 46 of the prefrontal cortex was studied. On the basis of the findings of the present study, an anatomical cortical hierarchy for areas 8, 6, and 46 is discussed. Anterogradely labeled axon terminals and retrogradely labeled cells appeared in the premotor area, in the supplementary motor area, and in area 46 on the side of injection; sites containing labeled axon terminals also contained labeled cells. In other words, the examined connections were reciprocal. In the labeled areas, labeled terminals and cells coexisted, and most formed radial columns. However, no labeling of cells and terminals was seen in the motor area (Brodmann's area 4). After injection of WGA-HRP into area 8A, labeled terminals and cells appeared predominantly in the superior premotor area (a region of the premotor area above the arcuate spur, Vogt and Vogt's upper areas 6a alpha and 6a beta), forming one, two, or three bands of label in the anteroposterior direction, whereas labeling occurred to a lesser extent in the inferior premotor area (a region of the premotor area below the arcuate spur, Vogt and Vogt's areas 4c, lower 6a alpha and 6b). In contrast, injection of WGA-HRP into area 45 resulted in the predominant labeling of the inferior premotor area with scant labeling in the superior premotor area. In the premotor area, labeled terminals were distributed over the entire cortical depth, although few were found in the lower half of layer III, and labeled cells were distributed mainly in layer III. In area 46 of the banks of the principal sulcus in the prefrontal cortex, labeled terminals were distributed in all cortical layers or over the entire cortical depth with a lower concentration in layer IV; labeled cells were found mostly in layers III and V, with a relatively high density in layer V.", "author" : [ { "dropping-particle" : "", "family" : "Arikuni", "given" : "T", "non-dropping-particle" : "", "parse-names" : false, "suffix" : "" }, { "dropping-particle" : "", "family" : "Watanabe", "given" : "K", "non-dropping-particle" : "", "parse-names" : false, "suffix" : "" }, { "dropping-particle" : "", "family" : "Kubota", "given" : "K", "non-dropping-particle" : "", "parse-names" : false, "suffix" : "" } ], "container-title" : "Journal of Comparative Neurology", "id" : "ITEM-1", "issue" : "1", "issued" : { "date-parts" : [ [ "1988" ] ] }, "page" : "21-40", "publisher" : "Wiley Online Library", "title" : "Connections of area 8 with area 6 in the brain of the macaque monkey", "type" : "article-journal", "volume" : "277" }, "uris" : [ "http://www.mendeley.com/documents/?uuid=bc4442b0-9775-49cd-94db-7a583815e497" ] }, { "id" : "ITEM-2", "itemData" : { "ISSN" : "0031-9384", "author" : [ { "dropping-particle" : "", "family" : "Dum", "given" : "Richard P", "non-dropping-particle" : "", "parse-names" : false, "suffix" : "" }, { "dropping-particle" : "", "family" : "Strick", "given" : "Peter L", "non-dropping-particle" : "", "parse-names" : false, "suffix" : "" } ], "container-title" : "Physiology &amp; behavior", "id" : "ITEM-2", "issue" : "4", "issued" : { "date-parts" : [ [ "2002" ] ] }, "page" : "677-682", "publisher" : "Elsevier", "title" : "Motor areas in the frontal lobe of the primate", "type" : "article-journal", "volume" : "77" }, "uris" : [ "http://www.mendeley.com/documents/?uuid=a993f6c1-4ea7-4423-b24c-7882629caf5a" ] }, { "id" : "ITEM-3", "itemData" : { "DOI" : "10.1523/JNEUROSCI.3902-04.2005", "ISBN" : "0270-6474", "ISSN" : "1529-2401", "PMID" : "15703391", "abstract" : "We examined the frontal lobe connections of the digit representations in the primary motor cortex (M1), the dorsal premotor area (PMd), and the ventral premotor area (PMv) of cebus monkeys. All of these digit representations lie on the lateral surface of the hemisphere. We used intracortical stimulation to identify the digit representations physiologically, and then we injected different tracers into two of the three cortical areas. This approach enabled us to compare the inputs to two digit representations in the same animal. We found that the densest inputs from the premotor areas to the digit representation in M1 originate from the PMd and the PMv. Both of these premotor areas contain a distinct digit representation, and the two digit representations are densely interconnected. Surprisingly, the projections from the digit representation in the supplementary motor area (SMA) to the PMd and PMv are stronger than the SMA projections to M1. The projections from other premotor areas to M1, the PMd, and the PMv are more modest. Of the three digit areas on the lateral surface, only the PMv receives dense input from the prefrontal cortex. Based on these results, we believe that M1, the PMd, and the PMv form a densely interconnected network of cortical areas that is concerned with the generation and control of hand movements. Overall, the laminar origins of neurons that interconnect the three cortical areas are typical of \"lateral\" interactions. Thus, from an anatomical perspective, this cortical network lacks a clear hierarchical organization", "author" : [ { "dropping-particle" : "", "family" : "Dum", "given" : "Richard P", "non-dropping-particle" : "", "parse-names" : false, "suffix" : "" }, { "dropping-particle" : "", "family" : "Strick", "given" : "Peter L", "non-dropping-particle" : "", "parse-names" : false, "suffix" : "" } ], "container-title" : "Journal of Neuroscience", "id" : "ITEM-3", "issue" : "1529-2401 (Electronic)", "issued" : { "date-parts" : [ [ "2005", "2", "9" ] ] }, "note" : "10.1523/JNEUROSCI.3902-04.2005", "page" : "1375-1386", "title" : "Frontal lobe inputs to the digit representations of the motor areas on the lateral surface of the hemisphere", "type" : "article-journal", "volume" : "25" }, "uris" : [ "http://www.mendeley.com/documents/?uuid=96f3ea98-7a44-4fd0-a6ae-a05f44b5b3fc" ] }, { "id" : "ITEM-4", "itemData" : { "DOI" : "10.1002/cne.903410308", "ISBN" : "0021-9967", "ISSN" : "0021-9967", "PMID" : "7515081", "abstract" : "We examined interconnections between a portion of the prefrontal cortex and the premotor areas in the frontal lobe to provide insights into the routes by which the prefrontal cortex gains access to the primary motor cortex and the central control of movement. We placed multiple injections of one retrograde tracer in the arm area of the primary motor cortex to define the premotor areas in the frontal lobe. Then, in the same animal, we placed multiple injections of another retrograde tracer in and around the principal sulcus (Walker's area 46). This double labeling strategy enabled us to determine which premotor areas are interconnected with the prefrontal cortex. There are three major results of this study. First, we found that five of the six premotor areas in the frontal lobe are interconnected with the dorsolateral prefrontal cortex. Second, the major site for interactions between the prefrontal cortex and the premotor areas is the ventral premotor area. Third, the prefrontal cortex is interconnected with only a portion of the arm representation in three premotor areas (supplementary motor area, the caudal cingulate motor area on the ventral bank of the cingulate sulcus, and the dorsal premotor area), whereas it is interconnected with the entire arm representation in the ventral premotor area and the rostral cingulate motor area. These observations indicate that the output of the prefrontal cortex targets specific premotor areas and even subregions within individual premotor areas.", "author" : [ { "dropping-particle" : "", "family" : "Lu", "given" : "M T", "non-dropping-particle" : "", "parse-names" : false, "suffix" : "" }, { "dropping-particle" : "", "family" : "Preston", "given" : "J B", "non-dropping-particle" : "", "parse-names" : false, "suffix" : "" }, { "dropping-particle" : "", "family" : "Strick", "given" : "P L", "non-dropping-particle" : "", "parse-names" : false, "suffix" : "" } ], "container-title" : "The Journal of comparative neurology", "id" : "ITEM-4", "issue" : "3", "issued" : { "date-parts" : [ [ "1994" ] ] }, "page" : "375-392", "publisher" : "Wiley Online Library", "title" : "Interconnections between the prefrontal cortex and the premotor areas in the frontal lobe.", "type" : "article-journal", "volume" : "341" }, "uris" : [ "http://www.mendeley.com/documents/?uuid=740b42d8-9c59-4e9d-8323-aab2b27f1921" ] }, { "id" : "ITEM-5", "itemData" : { "DOI" : "10.1007/978-1-4757-9619-3_1", "ISBN" : "978-1-4757-9621-6, 978-1-4757-9619-3", "abstract" : "The execution of behavior depends on the integration of activity at various levels of the central nervous system. Nevertheless, different regions of the nervous system have been shown to participate in specific functions. Whereas, at the cortical level, the primary and secondary sensory areas are involved in the elementary analysis of incoming information, the other regions of the cerebral cortex contribute to a variety of complex processes (Figs. 1 and 2). These latter regions are designated as association areas and may be conceptualized as being interposed between the external and the internal environments (Figs. 1 and 3). These areas are highly developed in primates and have been subdivided on the basis of architecture, their cortical and subcortical connections, and function, into several different types. For example, cortical areas subjacent to the primary sensory regions are termed first-order parasensory areas (Fig. 3), while those beyond the first-order parasensory areas are designated as second-order or third-order association areas (Jones and Powell, 1970a; Chavis and Pandya, 1976). Other cortical regions, which are situated at the junctions of modality-specificregions in parietal, occipital, and temporal cortices (Fig. 4), are termed multi-modal areas (Jones and Powell, 1970a; Seltzer and Pandya, 1976, 1978, 1980). Within the frontal lobe, beyond the motor cortex, a similar categorization of association areas has been identified (Jones and Powell, 1970a; Chavis and Pandya, 1976). Finally, the medial and ventral portions of the cerebral cortex contain groups of specialized regions (Fig. 5) which are termed paralimbic regions (Locke et al., 1964; Yakovlev et al., 1966; Pandya and Seltzer, 1982b).", "author" : [ { "dropping-particle" : "", "family" : "Pandya", "given" : "Deepak N.", "non-dropping-particle" : "", "parse-names" : false, "suffix" : "" }, { "dropping-particle" : "", "family" : "Yeterian", "given" : "Edward H.", "non-dropping-particle" : "", "parse-names" : false, "suffix" : "" } ], "collection-title" : "Cerebral Cortex", "container-title" : "Association and Auditory Cortices SE  - 1", "editor" : [ { "dropping-particle" : "", "family" : "Peters", "given" : "Alan", "non-dropping-particle" : "", "parse-names" : false, "suffix" : "" }, { "dropping-particle" : "", "family" : "Jones", "given" : "EdwardG.", "non-dropping-particle" : "", "parse-names" : false, "suffix" : "" } ], "id" : "ITEM-5", "issued" : { "date-parts" : [ [ "1985" ] ] }, "language" : "English", "page" : "3-61", "publisher" : "Springer US", "title" : "Architecture and Connections of Cortical Association Areas", "type" : "chapter", "volume" : "4" }, "uris" : [ "http://www.mendeley.com/documents/?uuid=dde6a8b0-b6b5-4101-bbe2-80bd3e76f041" ] }, { "id" : "ITEM-6", "itemData" : { "ISSN" : "0896-6273", "author" : [ { "dropping-particle" : "", "family" : "Rizzolatti, G. Luppino", "given" : "G.", "non-dropping-particle" : "", "parse-names" : false, "suffix" : "" } ], "container-title" : "Neuron", "id" : "ITEM-6", "issue" : "6", "issued" : { "date-parts" : [ [ "2001" ] ] }, "page" : "889-901", "publisher" : "Elsevier", "title" : "The cortical motor system", "type" : "article-journal", "volume" : "31" }, "uris" : [ "http://www.mendeley.com/documents/?uuid=6ca31c7e-8010-43e8-a65b-4d1158e08300" ] } ], "mendeley" : { "formattedCitation" : "(Arikuni et al., 1988; Dum and Strick, 2005, 2002; Lu et al., 1994; Pandya and Yeterian, 1985; Rizzolatti, G. Luppino, 2001)", "plainTextFormattedCitation" : "(Arikuni et al., 1988; Dum and Strick, 2005, 2002; Lu et al., 1994; Pandya and Yeterian, 1985; Rizzolatti, G. Luppino, 2001)", "previouslyFormattedCitation" : "(Arikuni et al., 1988; Dum and Strick, 2005, 2002; Lu et al., 1994; Pandya and Yeterian, 1985; Rizzolatti, G. Luppino, 2001)"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76" w:name="__Fieldmark__893_2073936654"/>
            <w:bookmarkStart w:id="77" w:name="__Fieldmark__987_531023477"/>
            <w:bookmarkStart w:id="78" w:name="__Fieldmark__1290_582625014"/>
            <w:r w:rsidRPr="007C17A6">
              <w:rPr>
                <w:rFonts w:ascii="Times New Roman" w:hAnsi="Times New Roman" w:cs="Times New Roman"/>
                <w:noProof/>
                <w:sz w:val="24"/>
                <w:szCs w:val="24"/>
              </w:rPr>
              <w:t>(Arikuni et al., 1988; Dum and Strick, 2005, 2002; Lu et al., 1994; Pandya and Yeterian, 1985; Rizzolatti, G. Luppino, 2001)</w:t>
            </w:r>
            <w:r w:rsidRPr="007C17A6">
              <w:rPr>
                <w:rFonts w:ascii="Times New Roman" w:hAnsi="Times New Roman" w:cs="Times New Roman"/>
                <w:sz w:val="24"/>
                <w:szCs w:val="24"/>
              </w:rPr>
              <w:fldChar w:fldCharType="end"/>
            </w:r>
            <w:bookmarkEnd w:id="76"/>
            <w:bookmarkEnd w:id="77"/>
            <w:bookmarkEnd w:id="78"/>
          </w:p>
        </w:tc>
      </w:tr>
      <w:tr w:rsidR="00BB04AA" w:rsidRPr="007C17A6" w14:paraId="052901CB" w14:textId="77777777" w:rsidTr="00BB04AA">
        <w:trPr>
          <w:trHeight w:val="413"/>
        </w:trPr>
        <w:tc>
          <w:tcPr>
            <w:tcW w:w="93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3B5B43" w14:textId="77777777" w:rsidR="00BB04AA" w:rsidRPr="007C17A6" w:rsidRDefault="00BB04AA">
            <w:pPr>
              <w:spacing w:after="0" w:line="240" w:lineRule="auto"/>
              <w:jc w:val="center"/>
              <w:rPr>
                <w:rFonts w:ascii="Times New Roman" w:hAnsi="Times New Roman" w:cs="Times New Roman"/>
                <w:i/>
                <w:sz w:val="24"/>
                <w:szCs w:val="24"/>
              </w:rPr>
            </w:pPr>
            <w:r w:rsidRPr="007C17A6">
              <w:rPr>
                <w:rFonts w:ascii="Times New Roman" w:hAnsi="Times New Roman" w:cs="Times New Roman"/>
                <w:i/>
                <w:sz w:val="24"/>
                <w:szCs w:val="24"/>
              </w:rPr>
              <w:t>Between system</w:t>
            </w:r>
          </w:p>
        </w:tc>
      </w:tr>
      <w:tr w:rsidR="00BB04AA" w:rsidRPr="007C17A6" w14:paraId="0801030B"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36842B"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AT, PB</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791AAB" w14:textId="60CEBE4C"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"10.1016/j.bandl.2012.11.002", "ISBN" : "0093-934X", "ISSN" : "0093934X", "PMID" : "23290461", "abstract" : "The white matter bundles that underlie comprehension and production of language have been investigated for a number of years. Several studies have examined which fiber bundles (or tracts) are involved in auditory language processing, and which kind of language information is transmitted by which fiber tract. However, there is much debate about exactly which fiber tracts are involved, their precise course in the brain, how they should be named, and which functions they fulfill. Therefore, the present article reviews the available language-related literature, and educes a neurocognitive model of the pathways for auditory language processing. Besides providing an overview of the current methods used for relating fiber anatomy to function, this article details the precise anatomy of the fiber tracts and their roles in phonological, semantic and syntactic processing, articulation, and repetition. ?? 2012 Elsevier Inc.", "author" : [ { "dropping-particle" : "", "family" : "Gierhan", "given" : "Sarah M E", "non-dropping-particle" : "", "parse-names" : false, "suffix" : "" } ], "container-title" : "Brain and Language", "id" : "ITEM-1", "issue" : "2", "issued" : { "date-parts" : [ [ "2013" ] ] }, "page" : "205-221", "publisher" : "Elsevier Inc.", "title" : "Connections for auditory language in the human brain", "type" : "article-journal", "volume" : "127" }, "uris" : [ "http://www.mendeley.com/documents/?uuid=081fbafd-5df6-44c5-9fc3-9c9266f3c96c" ] } ], "mendeley" : { "formattedCitation" : "(Gierhan, 2013)", "plainTextFormattedCitation" : "(Gierhan, 2013)", "previouslyFormattedCitation" : "(Gierhan, 2013)"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79" w:name="__Fieldmark__904_2073936654"/>
            <w:bookmarkStart w:id="80" w:name="__Fieldmark__998_531023477"/>
            <w:bookmarkStart w:id="81" w:name="__Fieldmark__1362_582625014"/>
            <w:r w:rsidRPr="007C17A6">
              <w:rPr>
                <w:rFonts w:ascii="Times New Roman" w:hAnsi="Times New Roman" w:cs="Times New Roman"/>
                <w:noProof/>
                <w:sz w:val="24"/>
                <w:szCs w:val="24"/>
              </w:rPr>
              <w:t>(Gierhan, 2013)</w:t>
            </w:r>
            <w:r w:rsidRPr="007C17A6">
              <w:rPr>
                <w:rFonts w:ascii="Times New Roman" w:hAnsi="Times New Roman" w:cs="Times New Roman"/>
                <w:sz w:val="24"/>
                <w:szCs w:val="24"/>
              </w:rPr>
              <w:fldChar w:fldCharType="end"/>
            </w:r>
            <w:bookmarkEnd w:id="79"/>
            <w:bookmarkEnd w:id="80"/>
            <w:bookmarkEnd w:id="81"/>
          </w:p>
        </w:tc>
      </w:tr>
      <w:tr w:rsidR="00BB04AA" w:rsidRPr="007C17A6" w14:paraId="2062EFC0"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DE6649" w14:textId="77777777" w:rsidR="00BB04AA" w:rsidRPr="007C17A6" w:rsidRDefault="00BB04AA">
            <w:pPr>
              <w:spacing w:after="0" w:line="240" w:lineRule="auto"/>
              <w:rPr>
                <w:rFonts w:ascii="Times New Roman" w:hAnsi="Times New Roman" w:cs="Times New Roman"/>
                <w:sz w:val="24"/>
                <w:szCs w:val="24"/>
              </w:rPr>
            </w:pPr>
            <w:proofErr w:type="spellStart"/>
            <w:r w:rsidRPr="007C17A6">
              <w:rPr>
                <w:rFonts w:ascii="Times New Roman" w:hAnsi="Times New Roman" w:cs="Times New Roman"/>
                <w:sz w:val="24"/>
                <w:szCs w:val="24"/>
              </w:rPr>
              <w:t>PF</w:t>
            </w:r>
            <w:r w:rsidRPr="007C17A6">
              <w:rPr>
                <w:rFonts w:ascii="Times New Roman" w:hAnsi="Times New Roman" w:cs="Times New Roman"/>
                <w:sz w:val="24"/>
                <w:szCs w:val="24"/>
                <w:vertAlign w:val="subscript"/>
              </w:rPr>
              <w:t>i</w:t>
            </w:r>
            <w:proofErr w:type="spellEnd"/>
            <w:r w:rsidRPr="007C17A6">
              <w:rPr>
                <w:rFonts w:ascii="Times New Roman" w:hAnsi="Times New Roman" w:cs="Times New Roman"/>
                <w:sz w:val="24"/>
                <w:szCs w:val="24"/>
              </w:rPr>
              <w:t>, PF</w:t>
            </w:r>
            <w:r w:rsidRPr="007C17A6">
              <w:rPr>
                <w:rFonts w:ascii="Times New Roman" w:hAnsi="Times New Roman" w:cs="Times New Roman"/>
                <w:sz w:val="24"/>
                <w:szCs w:val="24"/>
                <w:vertAlign w:val="subscript"/>
              </w:rPr>
              <w:t>L</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6B537" w14:textId="66B6A112"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"10.1016/j.cortex.2011.03.004", "ISSN" : "00109452", "PMID" : "21481342", "abstract" : "One dimension of understanding the functions of the prefrontal cortex is knowledge of cortical connectivity. We have surveyed three aspects of prefrontal cortical connections: local projections (within the frontal lobe), the termination patterns of long association (post-Rolandic) projections, and the trajectories of major fiber pathways. The local connections appear to be organized in relation to dorsal (hippocampal origin) and ventral (paleocortical origin) architectonic trends. According to the proposal of a dual origin of the cerebral cortex, cortical areas can be traced as originating from archicortex (hippocampus) on the one hand, and paleocortex, on the other hand, in a stepwise manner (e.g., Sanides, 1969; Pandya and Yeterian, 1985). Prefrontal areas within each trend are connected with less architectonically differentiated areas, and also with more differentiated areas. Such organization may allow for the systematic exchange of information within each architectonic trend. The long connections of the prefrontal cortex with post-Rolandic regions seem to be organized preferentially in relation to dorsal and ventral prefrontal architectonic trends. Prefrontal areas are connected with post-Rolandic auditory, visual and somatosensory association areas, and with multimodal and paralimbic regions. This long connectivity likely works in conjunction with local connections to serve prefrontal cortical functions. The afferent and efferent connections of the prefrontal cortex with post-Rolandic regions are conveyed by specific long association pathways. These pathways as well appear to be organized in relation to dorsal and ventral prefrontal architectonic trends. Finally, although prefrontal areas have preferential connections in relation to dual architectonic trends, it is clear that there are interconnections between and among areas in each trend, which may provide a substrate for the overall integrative function of the prefrontal cortex. Prefrontal corticocortical connectivity may help to elucidate both region-specific and integrative perspectives on the functions of the prefrontal cortex. ?? 2011 Elsevier Srl.", "author" : [ { "dropping-particle" : "", "family" : "Yeterian", "given" : "Edward H.", "non-dropping-particle" : "", "parse-names" : false, "suffix" : "" }, { "dropping-particle" : "", "family" : "Pandya", "given" : "Deepak N.", "non-dropping-particle" : "", "parse-names" : false, "suffix" : "" }, { "dropping-particle" : "", "family" : "Tomaiuolo", "given" : "Francesco", "non-dropping-particle" : "", "parse-names" : false, "suffix" : "" }, { "dropping-particle" : "", "family" : "Petrides", "given" : "Michael", "non-dropping-particle" : "", "parse-names" : false, "suffix" : "" } ], "container-title" : "Cortex", "id" : "ITEM-1", "issue" : "1", "issued" : { "date-parts" : [ [ "2012" ] ] }, "page" : "68-81", "publisher" : "Elsevier Srl", "title" : "The cortical connectivity of the prefrontal cortex in the monkey brain", "type" : "article-journal", "volume" : "48" }, "uris" : [ "http://www.mendeley.com/documents/?uuid=8a45456a-b61d-4177-a8cd-257661bc0644" ] } ], "mendeley" : { "formattedCitation" : "(Yeterian et al., 2012)", "plainTextFormattedCitation" : "(Yeterian et al., 2012)", "previouslyFormattedCitation" : "(Yeterian et al., 2012)"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82" w:name="__Fieldmark__919_2073936654"/>
            <w:bookmarkStart w:id="83" w:name="__Fieldmark__1010_531023477"/>
            <w:bookmarkStart w:id="84" w:name="__Fieldmark__1377_582625014"/>
            <w:r w:rsidRPr="007C17A6">
              <w:rPr>
                <w:rFonts w:ascii="Times New Roman" w:hAnsi="Times New Roman" w:cs="Times New Roman"/>
                <w:noProof/>
                <w:sz w:val="24"/>
                <w:szCs w:val="24"/>
              </w:rPr>
              <w:t>(Yeterian et al., 2012)</w:t>
            </w:r>
            <w:r w:rsidRPr="007C17A6">
              <w:rPr>
                <w:rFonts w:ascii="Times New Roman" w:hAnsi="Times New Roman" w:cs="Times New Roman"/>
                <w:sz w:val="24"/>
                <w:szCs w:val="24"/>
              </w:rPr>
              <w:fldChar w:fldCharType="end"/>
            </w:r>
            <w:bookmarkEnd w:id="82"/>
            <w:bookmarkEnd w:id="83"/>
            <w:bookmarkEnd w:id="84"/>
          </w:p>
        </w:tc>
      </w:tr>
      <w:tr w:rsidR="00BB04AA" w:rsidRPr="007C17A6" w14:paraId="6C5C664C" w14:textId="77777777" w:rsidTr="00BB04AA">
        <w:trPr>
          <w:trHeight w:val="458"/>
        </w:trPr>
        <w:tc>
          <w:tcPr>
            <w:tcW w:w="93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945A64" w14:textId="77777777" w:rsidR="00BB04AA" w:rsidRPr="007C17A6" w:rsidRDefault="00BB04AA">
            <w:pPr>
              <w:spacing w:after="0" w:line="240" w:lineRule="auto"/>
              <w:jc w:val="center"/>
              <w:rPr>
                <w:rFonts w:ascii="Times New Roman" w:hAnsi="Times New Roman" w:cs="Times New Roman"/>
                <w:sz w:val="26"/>
                <w:szCs w:val="26"/>
              </w:rPr>
            </w:pPr>
            <w:r w:rsidRPr="007C17A6">
              <w:rPr>
                <w:rFonts w:ascii="Times New Roman" w:hAnsi="Times New Roman" w:cs="Times New Roman"/>
                <w:b/>
                <w:sz w:val="26"/>
                <w:szCs w:val="26"/>
              </w:rPr>
              <w:t xml:space="preserve">Long distance cortico-cortical connections </w:t>
            </w:r>
            <w:r w:rsidRPr="007C17A6">
              <w:rPr>
                <w:rFonts w:ascii="Times New Roman" w:hAnsi="Times New Roman" w:cs="Times New Roman"/>
                <w:sz w:val="26"/>
                <w:szCs w:val="26"/>
              </w:rPr>
              <w:t>(purple arrows)</w:t>
            </w:r>
          </w:p>
        </w:tc>
      </w:tr>
      <w:tr w:rsidR="00BB04AA" w:rsidRPr="007C17A6" w14:paraId="75C53F34" w14:textId="77777777" w:rsidTr="00BB04AA">
        <w:trPr>
          <w:trHeight w:val="368"/>
        </w:trPr>
        <w:tc>
          <w:tcPr>
            <w:tcW w:w="93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CD65C0" w14:textId="77777777" w:rsidR="00BB04AA" w:rsidRPr="007C17A6" w:rsidRDefault="00BB04AA">
            <w:pPr>
              <w:spacing w:after="0" w:line="240" w:lineRule="auto"/>
              <w:jc w:val="center"/>
              <w:rPr>
                <w:rFonts w:ascii="Times New Roman" w:hAnsi="Times New Roman" w:cs="Times New Roman"/>
                <w:i/>
                <w:sz w:val="24"/>
                <w:szCs w:val="24"/>
              </w:rPr>
            </w:pPr>
            <w:r w:rsidRPr="007C17A6">
              <w:rPr>
                <w:rFonts w:ascii="Times New Roman" w:hAnsi="Times New Roman" w:cs="Times New Roman"/>
                <w:i/>
                <w:sz w:val="24"/>
                <w:szCs w:val="24"/>
              </w:rPr>
              <w:t>Perisylvian system</w:t>
            </w:r>
          </w:p>
        </w:tc>
      </w:tr>
      <w:tr w:rsidR="00BB04AA" w:rsidRPr="007C17A6" w14:paraId="4D4FD740"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16A088" w14:textId="77777777" w:rsidR="00BB04AA" w:rsidRPr="007C17A6" w:rsidRDefault="00BB04AA">
            <w:pPr>
              <w:spacing w:after="0" w:line="240" w:lineRule="auto"/>
              <w:rPr>
                <w:rFonts w:ascii="Times New Roman" w:hAnsi="Times New Roman" w:cs="Times New Roman"/>
                <w:sz w:val="24"/>
                <w:szCs w:val="24"/>
              </w:rPr>
            </w:pPr>
            <w:proofErr w:type="spellStart"/>
            <w:r w:rsidRPr="007C17A6">
              <w:rPr>
                <w:rFonts w:ascii="Times New Roman" w:hAnsi="Times New Roman" w:cs="Times New Roman"/>
                <w:sz w:val="24"/>
                <w:szCs w:val="24"/>
              </w:rPr>
              <w:t>PF</w:t>
            </w:r>
            <w:r w:rsidRPr="007C17A6">
              <w:rPr>
                <w:rFonts w:ascii="Times New Roman" w:hAnsi="Times New Roman" w:cs="Times New Roman"/>
                <w:sz w:val="24"/>
                <w:szCs w:val="24"/>
                <w:vertAlign w:val="subscript"/>
              </w:rPr>
              <w:t>i</w:t>
            </w:r>
            <w:proofErr w:type="spellEnd"/>
            <w:r w:rsidRPr="007C17A6">
              <w:rPr>
                <w:rFonts w:ascii="Times New Roman" w:hAnsi="Times New Roman" w:cs="Times New Roman"/>
                <w:sz w:val="24"/>
                <w:szCs w:val="24"/>
                <w:vertAlign w:val="subscript"/>
              </w:rPr>
              <w:t xml:space="preserve"> </w:t>
            </w:r>
            <w:r w:rsidRPr="007C17A6">
              <w:rPr>
                <w:rFonts w:ascii="Times New Roman" w:hAnsi="Times New Roman" w:cs="Times New Roman"/>
                <w:sz w:val="24"/>
                <w:szCs w:val="24"/>
              </w:rPr>
              <w:t>, PB</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1957F3" w14:textId="18CFBBAF"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"10.1002/ana.20319", "ISBN" : "0364-5134 (Print)\\r0364-5134 (Linking)", "ISSN" : "03645134", "PMID" : "15597383", "abstract" : "Early anatomically based models of language consisted of an arcuate tract connecting Broca's speech and Wernicke's comprehension centers; a lesion of the tract resulted in conduction aphasia. However, the heterogeneous clinical presentations of conduction aphasia suggest a greater complexity of perisylvian anatomical connections than allowed for in the classical anatomical model. This article re-explores perisylvian language connectivity using in vivo diffusion tensor magnetic resonance imaging tractography. Diffusion tensor magnetic resonance imaging data from 11 right-handed healthy male subjects were averaged, and the arcuate fasciculus of the left hemisphere reconstructed from this data using an interactive dissection technique. Beyond the classical arcuate pathway connecting Broca's and Wernicke's areas directly, we show a previously undescribed, indirect pathway passing through inferior parietal cortex. The indirect pathway runs parallel and lateral to the classical arcuate fasciculus and is composed of an anterior segment connecting Broca's territory with the inferior parietal lobe and a posterior segment connecting the inferior parietal lobe to Wernicke's territory. This model of two parallel pathways helps explain the diverse clinical presentations of conduction aphasia. The anatomical findings are also relevant to the evolution of language, provide a framework for Lichtheim's symptom-based neurological model of aphasia, and constrain, anatomically, contemporary connectionist accounts of language.", "author" : [ { "dropping-particle" : "", "family" : "Catani", "given" : "Marco", "non-dropping-particle" : "", "parse-names" : false, "suffix" : "" }, { "dropping-particle" : "", "family" : "Jones", "given" : "Derek K.", "non-dropping-particle" : "", "parse-names" : false, "suffix" : "" }, { "dropping-particle" : "", "family" : "Ffytche", "given" : "Dominic H.", "non-dropping-particle" : "", "parse-names" : false, "suffix" : "" } ], "container-title" : "Annals of Neurology", "id" : "ITEM-1", "issue" : "1", "issued" : { "date-parts" : [ [ "2005" ] ] }, "page" : "8-16", "publisher" : "Wiley Online Library", "title" : "Perisylvian language networks of the human brain", "type" : "article-journal", "volume" : "57" }, "uris" : [ "http://www.mendeley.com/documents/?uuid=3b029660-dc89-4b3e-ac5b-790d31b669e8" ] }, { "id" : "ITEM-2", "itemData" : { "DOI" : "S1053811998903834 [pii]", "ISBN" : "1053-8119 (Print)\\r1053-8119 (Linking)", "ISSN" : "1053-8119", "PMID" : "9918725", "abstract" : "We describe a virtually automatic comprehensive parcellation of the human cerebral central white matter, which is based upon T1-weighted MRI scans. The system, which is \"rule-based,\" is developed from prior anatomic studies of the human brain and experimental studies of connectivity in animals as elaborated in the companion manuscript. Boundaries which delineate anatomic subregions of the white matter are computed from the geometric features of anatomic landmarks visible in the imaging data. The fiber systems of the central white matter are ordered topographically into three compartments, reflecting the inferred arrangements of principal neural systems pathways. These include an outer radiate (fibers principally radially aligned), an intermediate sagittal (fibers principally sagittally aligned), and deep bridging (fibers bridging hemispheres or cortex and deep structures) compartments. Each of these compartments is secondarily parcellated into smaller units to increase the anatomic specificity and spatial resolution of the system. The principal intended uses for this system of anatomic subdivision are for the volumetric characterization of forebrain white matter in normal and abnormal brains and for precision and specificity of localization in focal lesion-deficit correlation studies.", "author" : [ { "dropping-particle" : "", "family" : "Meyer", "given" : "J W", "non-dropping-particle" : "", "parse-names" : false, "suffix" : "" }, { "dropping-particle" : "", "family" : "Makris", "given" : "N", "non-dropping-particle" : "", "parse-names" : false, "suffix" : "" }, { "dropping-particle" : "", "family" : "Bates", "given" : "J F", "non-dropping-particle" : "", "parse-names" : false, "suffix" : "" }, { "dropping-particle" : "", "family" : "Caviness", "given" : "V S", "non-dropping-particle" : "", "parse-names" : false, "suffix" : "" }, { "dropping-particle" : "", "family" : "Kennedy", "given" : "D N", "non-dropping-particle" : "", "parse-names" : false, "suffix" : "" } ], "container-title" : "NeuroImage", "id" : "ITEM-2", "issue" : "1", "issued" : { "date-parts" : [ [ "1999" ] ] }, "note" : "1053-8119\nJournal Article", "page" : "1-17", "title" : "MRI-Based topographic parcellation of human cerebral white matter.", "type" : "article-journal", "volume" : "9" }, "uris" : [ "http://www.mendeley.com/documents/?uuid=8ae773d1-005a-4a53-a4f8-bc9dfbb985d8" ] }, { "id" : "ITEM-3", "itemData" : { "DOI" : "10.1007/s00429-008-0199-8", "ISBN" : "0042900801998", "ISSN" : "18632653", "PMID" : "19104833", "abstract" : "Experimental and imaging studies in monkeys have outlined various long association fiber pathways within the fronto-temporo-parietal region. In the present study, the trajectory of the extreme capsule (EmC) fibers has been delineated in five human subjects using DT-MRI tractography. The EmC seems to be a long association fiber pathway, which courses between the inferior frontal region and the superior temporal gyrus extending into the inferior parietal lobule. Comparison of EmC fibers with the adjacent association fiber pathway, the middle longitudinal fascicle (MdLF), in the same subjects reveals that EmC is located in a medial and rostral position relative to MdLF flanking in part the medial wall of the insula. The EmC can also be differentiated from other neighboring fiber pathways such as the external capsule, uncinate fascicle, arcuate fascicle, superior longitudinal fascicles II and III, and the inferior longitudinal fascicle. Given the location of EmC within the language zone, specifically Broca's area in the frontal lobe, and Wernicke's area in the temporal lobe and inferior parietal lobule, it is suggested that the extreme capsule could have a role in language function.", "author" : [ { "dropping-particle" : "", "family" : "Makris", "given" : "Nikos", "non-dropping-particle" : "", "parse-names" : false, "suffix" : "" }, { "dropping-particle" : "", "family" : "Pandya", "given" : "Deepak N.", "non-dropping-particle" : "", "parse-names" : false, "suffix" : "" } ], "container-title" : "Brain Structure and Function", "id" : "ITEM-3", "issue" : "3", "issued" : { "date-parts" : [ [ "2009" ] ] }, "page" : "343-358", "publisher" : "Springer", "title" : "The extreme capsule in humans and rethinking of the language circuitry", "type" : "article-journal", "volume" : "213" }, "uris" : [ "http://www.mendeley.com/documents/?uuid=89c1ea1d-1924-46c5-981e-4645e64677b8" ] }, { "id" : "ITEM-4", "itemData" : { "DOI" : "10.1016/j.neuroimage.2004.08.047", "ISBN" : "1053-8119", "ISSN" : "10538119", "PMID" : "15652301", "abstract" : "Recent electrophysiological investigations of the auditory system in primates along with functional neuroimaging studies of auditory perception in humans have suggested there are two pathways arising from the primary auditory cortex. In the primate brain, a 'ventral' pathway is thought to project anteriorly from the primary auditory cortex to prefrontal areas along the superior temporal gyrus while a separate 'dorsal' route connects these areas posteriorly via the inferior parietal lobe. We use diffusion MRI tractography, a noninvasive technique based on diffusion-weighted MRI, to investigate the possibility of a similar pattern of connectivity in the human brain for the first time. The dorsal pathway from Wernicke's area to Broca's area is shown to include the arcuate fasciculus and connectivity to Brodmann area 40, lateral superior temporal gyrus (LSTG), and lateral middle temporal gyrus. A ventral route between Wernicke's area and Broca's area is demonstrated that connects via the external capsule/uncinate fasciculus and the medial superior temporal gyrus. Ventral connections are also observed in the lateral superior and middle temporal gyri. The connections are stronger in the dominant hemisphere, in agreement with previous studies of functional lateralization of auditory-language processing. ?? 2004 Elsevier Inc. All rights reserved.", "author" : [ { "dropping-particle" : "", "family" : "Parker", "given" : "Geoffrey J M", "non-dropping-particle" : "", "parse-names" : false, "suffix" : "" }, { "dropping-particle" : "", "family" : "Luzzi", "given" : "Simona", "non-dropping-particle" : "", "parse-names" : false, "suffix" : "" }, { "dropping-particle" : "", "family" : "Alexander", "given" : "Daniel C.", "non-dropping-particle" : "", "parse-names" : false, "suffix" : "" }, { "dropping-particle" : "", "family" : "Wheeler-Kingshott", "given" : "Claudia A M", "non-dropping-particle" : "", "parse-names" : false, "suffix" : "" }, { "dropping-particle" : "", "family" : "Ciccarelli", "given" : "Olga", "non-dropping-particle" : "", "parse-names" : false, "suffix" : "" }, { "dropping-particle" : "", "family" : "Lambon Ralph", "given" : "Matthew A.", "non-dropping-particle" : "", "parse-names" : false, "suffix" : "" } ], "container-title" : "NeuroImage", "id" : "ITEM-4", "issue" : "3", "issued" : { "date-parts" : [ [ "2005" ] ] }, "note" : "1053-8119 (Print)\nClinical Trial\nJournal Article\nResearch Support, Non-U.S. Gov't", "page" : "656-666", "title" : "Lateralization of ventral and dorsal auditory-language pathways in the human brain", "type" : "article-journal", "volume" : "24" }, "uris" : [ "http://www.mendeley.com/documents/?uuid=ab1754b6-a6e3-4841-9cd9-83a5310f35de" ] }, { "id" : "ITEM-5", "itemData" : { "DOI" : "10.1046/j.0953-816X.2001.01757.x", "ISBN" : "0953-816X (Print)\\r0953-816X (Linking)", "ISSN" : "0953816X", "PMID" : "11703468", "abstract" : "Modulation of cortico-cortical connectivity in specific neural circuits might underlie some of the behavioural effects observed following repetitive transcranial magnetic stimulation (rTMS) of the human frontal cortex. This possibility was tested by applying rTMS to the left mid-dorsolateral frontal cortex (MDL-FC) and subsequently measuring functional connectivity of this region with positron emission tomography (PET) and TMS. The results showed a strong rTMS-related modulation of brain activity in the fronto-cingulate circuit. These results were confirmed in a parallel experiment in the rat using electrical stimulation and field-potential recordings. Future studies are needed to provide a direct link between the rTMS-induced modulation of cortical connectivity and its effects on specific behaviours.", "author" : [ { "dropping-particle" : "", "family" : "Paus", "given" : "Tom\u00e1\u0161", "non-dropping-particle" : "", "parse-names" : false, "suffix" : "" }, { "dropping-particle" : "", "family" : "Castro-Alamancos", "given" : "Manuel A.", "non-dropping-particle" : "", "parse-names" : false, "suffix" : "" }, { "dropping-particle" : "", "family" : "Petrides", "given" : "Michael", "non-dropping-particle" : "", "parse-names" : false, "suffix" : "" } ], "container-title" : "European Journal of Neuroscience", "id" : "ITEM-5", "issue" : "8", "issued" : { "date-parts" : [ [ "2001" ] ] }, "note" : "0953-816x\nJournal Article", "page" : "1405-1411", "title" : "Cortico-cortical connectivity of the human mid-dorsolateral frontal cortex and its modulation by repetitive transcranial magnetic stimulation", "type" : "article-journal", "volume" : "14" }, "uris" : [ "http://www.mendeley.com/documents/?uuid=528bd87d-6c3a-4e92-9869-cacf34ec473c" ] }, { "id" : "ITEM-6", "itemData" : { "DOI" : "10.1038/nn2072", "ISBN" : "1097-6256 (Print)\\r1097-6256 (Linking)", "ISSN" : "1097-6256", "PMID" : "18344993", "abstract" : "The arcuate fasciculus is a white-matter fiber tract that is involved in human language. Here we compared cortical connectivity in humans, chimpanzees and macaques (Macaca mulatta) and found a prominent temporal lobe projection of the human arcuate fasciculus that is much smaller or absent in nonhuman primates. This human specialization may be relevant to the evolution of language.", "author" : [ { "dropping-particle" : "", "family" : "Rilling", "given" : "James K", "non-dropping-particle" : "", "parse-names" : false, "suffix" : "" }, { "dropping-particle" : "", "family" : "Glasser", "given" : "Matthew F", "non-dropping-particle" : "", "parse-names" : false, "suffix" : "" }, { "dropping-particle" : "", "family" : "Preuss", "given" : "Todd M", "non-dropping-particle" : "", "parse-names" : false, "suffix" : "" }, { "dropping-particle" : "", "family" : "Ma", "given" : "Xiangyang", "non-dropping-particle" : "", "parse-names" : false, "suffix" : "" }, { "dropping-particle" : "", "family" : "Zhao", "given" : "Tiejun", "non-dropping-particle" : "", "parse-names" : false, "suffix" : "" }, { "dropping-particle" : "", "family" : "Hu", "given" : "Xiaoping", "non-dropping-particle" : "", "parse-names" : false, "suffix" : "" }, { "dropping-particle" : "", "family" : "Behrens", "given" : "Timothy E J", "non-dropping-particle" : "", "parse-names" : false, "suffix" : "" } ], "container-title" : "Nature Neuroscience", "id" : "ITEM-6", "issue" : "4", "issued" : { "date-parts" : [ [ "2008" ] ] }, "page" : "426-428", "publisher" : "New York, NY: Nature America Inc., c1998-", "title" : "The evolution of the arcuate fasciculus revealed with comparative DTI", "type" : "article-journal", "volume" : "11" }, "uris" : [ "http://www.mendeley.com/documents/?uuid=70306eb4-aac6-451a-a3e9-0619d4ac69fa" ] }, { "id" : "ITEM-7", "itemData" : { "DOI" : "10.1038/16056", "ISBN" : "1097-6256", "ISSN" : "10976256", "PMID" : "10570492", "abstract" : "'What' and 'where' visual streams define ventrolateral object and dorsolateral spatial processing domains in the prefrontal cortex of nonhuman primates. We looked for similar streams for auditory-prefrontal connections in rhesus macaques by combining microelectrode recording with anatomical tract-tracing. Injection of multiple tracers into physiologically mapped regions AL, ML and CL of the auditory belt cortex revealed that anterior belt cortex was reciprocally connected with the frontal pole (area 10), rostral principal sulcus (area 46) and ventral prefrontal regions (areas 12 and 45), whereas the caudal belt was mainly connected with the caudal principal sulcus (area 46) and frontal eye fields (area 8a). Thus separate auditory streams originate in caudal and rostral auditory cortex and target spatial and non-spatial domains of the frontal lobe, respectively.", "author" : [ { "dropping-particle" : "", "family" : "Romanski", "given" : "L. M.", "non-dropping-particle" : "", "parse-names" : false, "suffix" : "" }, { "dropping-particle" : "", "family" : "Tian", "given" : "B.", "non-dropping-particle" : "", "parse-names" : false, "suffix" : "" }, { "dropping-particle" : "", "family" : "Fritz", "given" : "J.", "non-dropping-particle" : "", "parse-names" : false, "suffix" : "" }, { "dropping-particle" : "", "family" : "Mishkin", "given" : "M.", "non-dropping-particle" : "", "parse-names" : false, "suffix" : "" }, { "dropping-particle" : "", "family" : "Goldman-Rakic", "given" : "P. S.", "non-dropping-particle" : "", "parse-names" : false, "suffix" : "" }, { "dropping-particle" : "", "family" : "Rauschecker", "given" : "J. P.", "non-dropping-particle" : "", "parse-names" : false, "suffix" : "" } ], "container-title" : "Nature Neuroscience", "id" : "ITEM-7", "issue" : "12", "issued" : { "date-parts" : [ [ "1999" ] ] }, "page" : "1131-1136", "publisher" : "Nature Publishing Group", "title" : "Dual streams of auditory afferents target multiple domains in the primate prefrontal cortex", "type" : "article-journal", "volume" : "2" }, "uris" : [ "http://www.mendeley.com/documents/?uuid=fa165ee4-c9a7-45c3-86bf-f3de3fcd4206" ] } ], "mendeley" : { "formattedCitation" : "(Catani et al., 2005; Makris and Pandya, 2009; Meyer et al., 1999; Parker et al., 2005; Paus et al., 2001; Rilling et al., 2008; Romanski et al., 1999b)", "plainTextFormattedCitation" : "(Catani et al., 2005; Makris and Pandya, 2009; Meyer et al., 1999; Parker et al., 2005; Paus et al., 2001; Rilling et al., 2008; Romanski et al., 1999b)", "previouslyFormattedCitation" : "(Catani et al., 2005; Makris and Pandya, 2009; Meyer et al., 1999; Parker et al., 2005; Paus et al., 2001; Rilling et al., 2008; Romanski et al., 1999b)"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85" w:name="__Fieldmark__940_2073936654"/>
            <w:bookmarkStart w:id="86" w:name="__Fieldmark__1045_531023477"/>
            <w:bookmarkStart w:id="87" w:name="__Fieldmark__1317_582625014"/>
            <w:r w:rsidRPr="007C17A6">
              <w:rPr>
                <w:rFonts w:ascii="Times New Roman" w:hAnsi="Times New Roman" w:cs="Times New Roman"/>
                <w:noProof/>
                <w:sz w:val="24"/>
                <w:szCs w:val="24"/>
              </w:rPr>
              <w:t>(Catani et al., 2005; Makris and Pandya, 2009; Meyer et al., 1999; Parker et al., 2005; Paus et al., 2001; Rilling et al., 2008; Romanski et al., 1999b)</w:t>
            </w:r>
            <w:r w:rsidRPr="007C17A6">
              <w:rPr>
                <w:rFonts w:ascii="Times New Roman" w:hAnsi="Times New Roman" w:cs="Times New Roman"/>
                <w:sz w:val="24"/>
                <w:szCs w:val="24"/>
              </w:rPr>
              <w:fldChar w:fldCharType="end"/>
            </w:r>
            <w:bookmarkEnd w:id="85"/>
            <w:bookmarkEnd w:id="86"/>
            <w:bookmarkEnd w:id="87"/>
          </w:p>
        </w:tc>
      </w:tr>
      <w:tr w:rsidR="00BB04AA" w:rsidRPr="007C17A6" w14:paraId="53C472E8" w14:textId="77777777" w:rsidTr="00BB04AA">
        <w:trPr>
          <w:trHeight w:val="395"/>
        </w:trPr>
        <w:tc>
          <w:tcPr>
            <w:tcW w:w="93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018127" w14:textId="77777777" w:rsidR="00BB04AA" w:rsidRPr="007C17A6" w:rsidRDefault="00BB04AA">
            <w:pPr>
              <w:spacing w:after="0" w:line="240" w:lineRule="auto"/>
              <w:jc w:val="center"/>
              <w:rPr>
                <w:rFonts w:ascii="Times New Roman" w:hAnsi="Times New Roman" w:cs="Times New Roman"/>
                <w:i/>
                <w:sz w:val="24"/>
                <w:szCs w:val="24"/>
              </w:rPr>
            </w:pPr>
            <w:r w:rsidRPr="007C17A6">
              <w:rPr>
                <w:rFonts w:ascii="Times New Roman" w:hAnsi="Times New Roman" w:cs="Times New Roman"/>
                <w:i/>
                <w:sz w:val="24"/>
                <w:szCs w:val="24"/>
              </w:rPr>
              <w:t>Extrasylvian system</w:t>
            </w:r>
          </w:p>
        </w:tc>
      </w:tr>
      <w:tr w:rsidR="00BB04AA" w:rsidRPr="007C17A6" w14:paraId="2A9A1A9A"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7921E6"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AT, PF</w:t>
            </w:r>
            <w:r w:rsidRPr="007C17A6">
              <w:rPr>
                <w:rFonts w:ascii="Times New Roman" w:hAnsi="Times New Roman" w:cs="Times New Roman"/>
                <w:sz w:val="24"/>
                <w:szCs w:val="24"/>
                <w:vertAlign w:val="subscript"/>
              </w:rPr>
              <w:t>L</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163271" w14:textId="20A127E2"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"10.1007/BF00248903", "ISBN" : "0014-4819 (Print)\\r0014-4819 (Linking)", "ISSN" : "0014-4819", "PMID" : "2792241", "abstract" : "In five rhesus monkeys (Macaca mulatta) we used anterograde and retrograde tracing techniques to investigate the projection from the inferior temporal cortex (area TE) to the prefrontal cortex as well as the course of the projecting fibers. The results showed that TE projects to both the inferior convexity and orbital surface of prefrontal cortex and that these projections course almost exclusively via the uncinate fascicle. Transection of the uncinate fascicle deprives the prefrontal cortex of virtually all input from TE, but leaves intact inputs from prestriate and parietal visual areas as well as the amygdala. Such transection also leaves intact many projections from TE to targets other than the prefrontal cortex, including the amygdala, ventral putamen, tail of the caudate nucleus, and pulvinar.", "author" : [ { "dropping-particle" : "", "family" : "Ungerleider", "given" : "L G", "non-dropping-particle" : "", "parse-names" : false, "suffix" : "" }, { "dropping-particle" : "", "family" : "Gaffan", "given" : "D", "non-dropping-particle" : "", "parse-names" : false, "suffix" : "" }, { "dropping-particle" : "", "family" : "Pelak", "given" : "V S", "non-dropping-particle" : "", "parse-names" : false, "suffix" : "" } ], "container-title" : "Experimental brain research. Experimentelle Hirnforschung. Experimentation cerebrale", "id" : "ITEM-1", "issue" : "3", "issued" : { "date-parts" : [ [ "1989" ] ] }, "note" : "0014-4819 (Print)\n0014-4819 (Linking)\nJournal Article\nResearch Support, Non-U.S. Gov't", "page" : "473-484", "title" : "Projections from inferior temporal cortex to prefrontal cortex via the uncinate fascicle in rhesus monkeys.", "type" : "article-journal", "volume" : "76" }, "uris" : [ "http://www.mendeley.com/documents/?uuid=756df9be-4dc8-41c0-9c29-8bc651235d4b" ] }, { "id" : "ITEM-2", "itemData" : { "DOI" : "10.1093/cercor/4.5.470", "ISBN" : "1047-3211 (Print)\\r1047-3211 (Linking)", "ISSN" : "1047-3211", "PMID" : "7530521", "abstract" : "Inferior temporal cortex is perhaps the highest visual processing area and much anatomical work has focused on its connections with other visual areas in temporal and occipital cortex. Here we report connections of inferior temporal cortex with regions in the frontal and parietal lobes. Inferior temporal areas TEO and TE were injected with WGA-HRP and 3H-AA, respectively, or vice versa, in 1-week-old infant and 3-4-year-old adult monkeys (Macaca mulatta). The results indicated that whereas TEO has more extensive connections with parietal areas, TE has more extensive connections with prefrontal areas. Thus, in the intraparietal sulcus, area TEO is connected with areas LIPd, LIPv, and V3A, and with the as yet undefined region between LIPv and V3A, whereas the connections of TE are predominantly with LIPd, and to a lesser extent with LIPv. In the prefrontal cortex, area TE is connected with areas 8 and 45 in the inferior limb of the anterior bank of the arcuate sulcus, with area 12 on the inferior prefrontal convexity, and with areas 11 and 13 on the orbital surface. By contrast, the connections of area TEO are limited to areas 8, 45, and 12. Furthermore, within prefrontal cortex, the projections from areas TEO and TE terminate in different layers in areas 8 and 45, such that those from TEO terminate in all layers, whereas those from TEO terminate in layers I and V/VI only. In contrast to the connections of areas TEO and TE with various medial temporal-lobe and subcortical structures, which are immature in infant monkeys (Webster et al., 1991, 1993b), the connections with parietal and prefrontal areas appear adult-like as early as 1 week of age.", "author" : [ { "dropping-particle" : "", "family" : "Webster", "given" : "M J", "non-dropping-particle" : "", "parse-names" : false, "suffix" : "" }, { "dropping-particle" : "", "family" : "Bachevalier", "given" : "J", "non-dropping-particle" : "", "parse-names" : false, "suffix" : "" }, { "dropping-particle" : "", "family" : "Ungerleider", "given" : "Leslie G", "non-dropping-particle" : "", "parse-names" : false, "suffix" : "" } ], "container-title" : "Cerebral cortex", "id" : "ITEM-2", "issue" : "5", "issued" : { "date-parts" : [ [ "1994" ] ] }, "note" : "1047-3211 (Print)\n1047-3211 (Linking)\nJournal Article", "page" : "470-483", "title" : "Connections of inferior temporal areas TEO and TE with parietal and frontal cortex in macaque monkeys.", "type" : "article-journal", "volume" : "4" }, "uris" : [ "http://www.mendeley.com/documents/?uuid=e60c08e0-6c73-40dc-944f-c34dbf020d9a" ] }, { "id" : "ITEM-3", "itemData" : { "author" : [ { "dropping-particle" : "", "family" : "Bauer", "given" : "R H", "non-dropping-particle" : "", "parse-names" : false, "suffix" : "" }, { "dropping-particle" : "", "family" : "Jones", "given" : "C N", "non-dropping-particle" : "", "parse-names" : false, "suffix" : "" } ], "container-title" : "Physiol. Behav.", "id" : "ITEM-3", "issued" : { "date-parts" : [ [ "1976" ] ] }, "note" : "Reprint Status: In File", "page" : "885-890", "title" : "Feedback training of 36-45 Hz EEG activity in the visual cortex and hippocampus of cats: evidence for sensory and motor involvement", "type" : "article-journal", "volume" : "17" }, "uris" : [ "http://www.mendeley.com/documents/?uuid=0579aa87-7690-439a-8793-b62b39897262" ] }, { "id" : "ITEM-4", "itemData" : { "ISBN" : "0022-3077 (Print)\\n0022-3077 (Linking)", "ISSN" : "0022-3077", "PMID" : "10712479", "abstract" : "Dorsolateral prefrontal and posterior parietal cortex share reciprocal projections. They also share nearly identical patterns of neuronal activation during performance of memory-guided saccades. To test the hypothesis that the reciprocal projections between parietal and prefrontal neurons may entrain their parallel activation, the present experiments have combined cortical cooling in one cortical area with single-unit recording in the other to more precisely determine the physiological interactions between the two during working memory performance. The activity of 105 cortical neurons during the performance of an oculomotor delayed response (ODR) task (43 parietal neurons during prefrontal cooling, 62 prefrontal neurons during parietal cooling) was compared across two blocks of trials collected while the distant cortical area either was maintained at normal body temperature or cooled. The mean firing rates of 71% of the prefrontal neurons during ODR performance changed significantly when parietal cortex was cooled. Prefrontal neurons the activity of which was modulated during the cue, delay, or saccade periods of the task were equally vulnerable to parietal inactivation. Further, both lower and higher firing rates relative to the precool period were seen with comparable frequency. Similar results were obtained from the converse experiment, in which the mean firing rates of 76% of the parietal neurons were significantly different while prefrontal cortex was cooled, specifically in those task epochs when the activity of each neuron was modulated during ODR performance. These effects again were seen equally in all epochs of the ODR task in the form of augmented or suppressed activity. Significant effects on the latency of neuronal activation during cue and saccade periods of the task were absent irrespective of the area cooled. Cooling was associated in some cases with a shift in the best direction of Gaussian tuning functions fit to neuronal activity, and these shifts were on average larger during parietal than prefrontal cooling. In view of the parallel between the similarity in activity patterns previously reported and the largely symmetrical cooling effects presently obtained, the data suggest that prefrontal and parietal neurons achieve matched activation during ODR performance through a symmetrical exchange of neuronal signals between them; in both cortical areas, neurons activated during the cue, delay, and also saccade epochs of the ODR task partic\u2026", "author" : [ { "dropping-particle" : "V", "family" : "Chafee", "given" : "M", "non-dropping-particle" : "", "parse-names" : false, "suffix" : "" }, { "dropping-particle" : "", "family" : "Goldman-Rakic", "given" : "P S", "non-dropping-particle" : "", "parse-names" : false, "suffix" : "" } ], "container-title" : "Journal of Neurophysiology", "id" : "ITEM-4", "issue" : "3", "issued" : { "date-parts" : [ [ "2000" ] ] }, "note" : "0022-3077 (Print)\n0022-3077 (Linking)\nJournal Article\nResearch Support, U.S. Gov't, P.H.S.", "page" : "1550-1566", "title" : "Inactivation of parietal and prefrontal cortex reveals interdependence of neural activity during memory-guided saccades", "type" : "article-journal", "volume" : "83" }, "uris" : [ "http://www.mendeley.com/documents/?uuid=21d1e3e6-808e-46e6-bdfc-04a625487fd5" ] }, { "id" : "ITEM-5", "itemData" : { "author" : [ { "dropping-particle" : "", "family" : "Fuster", "given" : "J M", "non-dropping-particle" : "", "parse-names" : false, "suffix" : "" }, { "dropping-particle" : "", "family" : "Bauer", "given" : "R H", "non-dropping-particle" : "", "parse-names" : false, "suffix" : "" }, { "dropping-particle" : "", "family" : "Jervey", "given" : "J P", "non-dropping-particle" : "", "parse-names" : false, "suffix" : "" } ], "container-title" : "Brain Research", "id" : "ITEM-5", "issued" : { "date-parts" : [ [ "1985" ] ] }, "note" : "important: prefrontal cooling (20 C) and infero temporal cooling both diminished color-dependent differences in the remote region (in no case augmented) ! (against milner's view!) &amp;quot;In other words, under cooling the cells had a tendency to treat different colors alike&amp;quot;. at the same time, errors on task performance increased. differnces in both responses and delay discharges. remote cooling -&amp;gt; diminuishion or augmentation of color responses. \\ mutal influences (inf temp - front) visual discrimination and short term memory\nReprint Status: In File", "page" : "299-307", "title" : "Functional interactions between inferotemporal and prefrontal cortex in a cognitive task", "type" : "article-journal", "volume" : "330" }, "uris" : [ "http://www.mendeley.com/documents/?uuid=8550a489-6a0c-425b-b087-18b32f90cdbf" ] }, { "id" : "ITEM-6", "itemData" : { "DOI" : "10.1111/j.1460-9568.1992.tb00157.x", "ISBN" : "1460-9568 (Electronic)\\r0953-816X (Linking)", "ISSN" : "0953816X", "PMID" : "12106395", "abstract" : "We report a series of six experiments in which we examined the behavioural effects of disconnecting the inferior temporal cortex from the prefrontal cortex in cynomolgus monkeys by sectioning the direct cortico-cortical pathway between them, the uncinate fascicle. In experiment 1, monkeys with bilateral section of the uncinate fascicle showed a marked deficit in learning visuomotor conditional problems. Experiments 2 and 3 demonstrated that this deficit was not the result of a mild motor impairment, nor of a visual discrimination impairment. However, experiment 4 showed that the impairment extended to visual - visual conditional learning. In contrast, following bilateral section of the uncinate fascicle monkeys were unimpaired at two other tasks of visual associative learning: a reward - visual associative task (experiment 5), in which the presence or absence of a food reward served as a cue to the correct choice between two visual stimuli, and a time - visual associative task (experiment 6), in which the cue to the correct choice was the length of the intertrial interval. Thus, animals with uncinate fascicle section showed no impairment in learning to choose between visual stimuli based on their differential association with food reward or other non-visual cues, but were unable to learn to choose between visual stimuli based on their differential association with another visual stimulus. They were equally unable to choose between two motor responses on the basis of the visual cue.", "author" : [ { "dropping-particle" : "", "family" : "Eacott", "given" : "M. J.", "non-dropping-particle" : "", "parse-names" : false, "suffix" : "" }, { "dropping-particle" : "", "family" : "Gaffan", "given" : "D.", "non-dropping-particle" : "", "parse-names" : false, "suffix" : "" } ], "container-title" : "European Journal of Neuroscience", "id" : "ITEM-6", "issue" : "12", "issued" : { "date-parts" : [ [ "1992" ] ] }, "note" : "1460-9568 (Electronic)\n0953-816X (Linking)\nJournal article", "page" : "1320-1332", "title" : "Inferotemporal-frontal disconnection: The uncinate fascicle and visual associative learning in monkeys", "type" : "article-journal", "volume" : "4" }, "uris" : [ "http://www.mendeley.com/documents/?uuid=8621bdc6-efa6-4e03-886e-86a540f5c28c" ] }, { "id" : "ITEM-7", "itemData" : { "DOI" : "10.1046/j.1460-9568.1998.00306.x", "ISBN" : "0953-816X (Print)\\r0953-816X (Linking)", "ISSN" : "0953816X", "PMID" : "9786199", "abstract" : "Monkeys were trained preoperatively in visual object recognition memory. The task was delayed matching-to-sample with lists of trial-unique randomly generated visual stimuli in an automated apparatus, and the stimuli were 2D visual objects made from randomly generated coloured shapes. We then examined the effect of either: (i) disconnecting the frontal cortex in one hemisphere from the perirhinal cortex in the contralateral hemisphere by crossed unilateral ablations; (ii) disconnecting the magnocellular portion of the mediodorsal (MDmc) thalamic nucleus in one hemisphere from the perirhinal cortex in the contralateral hemisphere; or (iii) bilaterally ablating first the amygdala, then adding fornix transection, then finally perirhinal cortex ablation. We found that both frontal/perirhinal and MDmc/perirhinal disconnection had a large effect on visual object recognition memory, whereas both amygdalectomy and the addition of fornix transection had only a mild effect. We conclude that the frontal lobe needs to interact with the perirhinal cortex within the same hemisphere for visual object recognition memory, but that routes through the amygdala and hippocampus are not of primary importance.", "author" : [ { "dropping-particle" : "", "family" : "Parker", "given" : "A.", "non-dropping-particle" : "", "parse-names" : false, "suffix" : "" } ], "container-title" : "European Journal of Neuroscience", "id" : "ITEM-7", "issue" : "10", "issued" : { "date-parts" : [ [ "1998" ] ] }, "note" : "0953-816X (Print)\n0953-816X (Linking)\nJournal Article\nResearch Support, Non-U.S. Gov't", "page" : "3044-3057", "title" : "Interaction of frontal and perirhinal cortices in visual object recognition memory in monkeys", "type" : "article-journal", "volume" : "10" }, "uris" : [ "http://www.mendeley.com/documents/?uuid=c79c3a98-7ccd-4949-94a8-4894351cec7a" ] } ], "mendeley" : { "formattedCitation" : "(Bauer and Jones, 1976; Chafee and Goldman-Rakic, 2000; Eacott and Gaffan, 1992; Fuster et al., 1985; Parker, 1998; Ungerleider et al., 1989; Webster et al., 1994)", "plainTextFormattedCitation" : "(Bauer and Jones, 1976; Chafee and Goldman-Rakic, 2000; Eacott and Gaffan, 1992; Fuster et al., 1985; Parker, 1998; Ungerleider et al., 1989; Webster et al., 1994)", "previouslyFormattedCitation" : "(Bauer and Jones, 1976; Chafee and Goldman-Rakic, 2000; Eacott and Gaffan, 1992; Fuster et al., 1985; Parker, 1998; Ungerleider et al., 1989; Webster et al., 1994)"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88" w:name="__Fieldmark__953_2073936654"/>
            <w:bookmarkStart w:id="89" w:name="__Fieldmark__1056_531023477"/>
            <w:bookmarkStart w:id="90" w:name="__Fieldmark__1328_582625014"/>
            <w:r w:rsidRPr="007C17A6">
              <w:rPr>
                <w:rFonts w:ascii="Times New Roman" w:hAnsi="Times New Roman" w:cs="Times New Roman"/>
                <w:noProof/>
                <w:sz w:val="24"/>
                <w:szCs w:val="24"/>
              </w:rPr>
              <w:t>(Bauer and Jones, 1976; Chafee and Goldman-Rakic, 2000; Eacott and Gaffan, 1992; Fuster et al., 1985; Parker, 1998; Ungerleider et al., 1989; Webster et al., 1994)</w:t>
            </w:r>
            <w:r w:rsidRPr="007C17A6">
              <w:rPr>
                <w:rFonts w:ascii="Times New Roman" w:hAnsi="Times New Roman" w:cs="Times New Roman"/>
                <w:sz w:val="24"/>
                <w:szCs w:val="24"/>
              </w:rPr>
              <w:fldChar w:fldCharType="end"/>
            </w:r>
            <w:bookmarkEnd w:id="88"/>
            <w:bookmarkEnd w:id="89"/>
            <w:bookmarkEnd w:id="90"/>
          </w:p>
        </w:tc>
      </w:tr>
      <w:tr w:rsidR="00BB04AA" w:rsidRPr="007C17A6" w14:paraId="6AECAFCF" w14:textId="77777777" w:rsidTr="00BB04AA">
        <w:trPr>
          <w:trHeight w:val="377"/>
        </w:trPr>
        <w:tc>
          <w:tcPr>
            <w:tcW w:w="93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FB6207" w14:textId="77777777" w:rsidR="00BB04AA" w:rsidRPr="007C17A6" w:rsidRDefault="00BB04AA">
            <w:pPr>
              <w:spacing w:after="0" w:line="240" w:lineRule="auto"/>
              <w:jc w:val="center"/>
              <w:rPr>
                <w:rFonts w:ascii="Times New Roman" w:hAnsi="Times New Roman" w:cs="Times New Roman"/>
                <w:i/>
                <w:sz w:val="24"/>
                <w:szCs w:val="24"/>
              </w:rPr>
            </w:pPr>
            <w:r w:rsidRPr="007C17A6">
              <w:rPr>
                <w:rFonts w:ascii="Times New Roman" w:hAnsi="Times New Roman" w:cs="Times New Roman"/>
                <w:i/>
                <w:sz w:val="24"/>
                <w:szCs w:val="24"/>
              </w:rPr>
              <w:t>Between system</w:t>
            </w:r>
          </w:p>
        </w:tc>
      </w:tr>
      <w:tr w:rsidR="00BB04AA" w:rsidRPr="007C17A6" w14:paraId="41937DBC"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218F6A"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PB, PF</w:t>
            </w:r>
            <w:r w:rsidRPr="007C17A6">
              <w:rPr>
                <w:rFonts w:ascii="Times New Roman" w:hAnsi="Times New Roman" w:cs="Times New Roman"/>
                <w:sz w:val="24"/>
                <w:szCs w:val="24"/>
                <w:vertAlign w:val="subscript"/>
              </w:rPr>
              <w:t>L</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8788AF" w14:textId="0B1801FB"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"ISBN" : "0-936925-00-0 (Hardcover)", "abstract" : "understanding of the precise organization of frontal lobe interrelations with other cortical and subcortical regions data on the afferent and efferent connections of the frontal lobe novel approach that . . . seeks to explain cortical function in light of the evolution of the cerebral cortex / cortical cytoarchitecture anatomy of the monkey brain (\"Macaca mulatta\")", "author" : [ { "dropping-particle" : "", "family" : "Pandya", "given" : "Deepak N", "non-dropping-particle" : "", "parse-names" : false, "suffix" : "" }, { "dropping-particle" : "", "family" : "Barnes", "given" : "Clifford L", "non-dropping-particle" : "", "parse-names" : false, "suffix" : "" } ], "container-title" : "The frontal lobes revisited", "editor" : [ { "dropping-particle" : "", "family" : "Perecman", "given" : "E", "non-dropping-particle" : "", "parse-names" : false, "suffix" : "" } ], "id" : "ITEM-1", "issued" : { "date-parts" : [ [ "1987" ] ] }, "page" : "41-72", "publisher" : "The IRBN Press", "publisher-place" : "New York", "title" : "Architecture and connections of the frontal lobe", "type" : "chapter" }, "uris" : [ "http://www.mendeley.com/documents/?uuid=bc777bd6-2a63-4a0b-a8e5-a29aa1804d11" ] }, { "id" : "ITEM-2", "itemData" : { "DOI" : "10.1038/16056", "ISBN" : "1097-6256", "ISSN" : "10976256", "PMID" : "10570492", "abstract" : "'What' and 'where' visual streams define ventrolateral object and dorsolateral spatial processing domains in the prefrontal cortex of nonhuman primates. We looked for similar streams for auditory-prefrontal connections in rhesus macaques by combining microelectrode recording with anatomical tract-tracing. Injection of multiple tracers into physiologically mapped regions AL, ML and CL of the auditory belt cortex revealed that anterior belt cortex was reciprocally connected with the frontal pole (area 10), rostral principal sulcus (area 46) and ventral prefrontal regions (areas 12 and 45), whereas the caudal belt was mainly connected with the caudal principal sulcus (area 46) and frontal eye fields (area 8a). Thus separate auditory streams originate in caudal and rostral auditory cortex and target spatial and non-spatial domains of the frontal lobe, respectively.", "author" : [ { "dropping-particle" : "", "family" : "Romanski", "given" : "L. M.", "non-dropping-particle" : "", "parse-names" : false, "suffix" : "" }, { "dropping-particle" : "", "family" : "Tian", "given" : "B.", "non-dropping-particle" : "", "parse-names" : false, "suffix" : "" }, { "dropping-particle" : "", "family" : "Fritz", "given" : "J.", "non-dropping-particle" : "", "parse-names" : false, "suffix" : "" }, { "dropping-particle" : "", "family" : "Mishkin", "given" : "M.", "non-dropping-particle" : "", "parse-names" : false, "suffix" : "" }, { "dropping-particle" : "", "family" : "Goldman-Rakic", "given" : "P. S.", "non-dropping-particle" : "", "parse-names" : false, "suffix" : "" }, { "dropping-particle" : "", "family" : "Rauschecker", "given" : "J. P.", "non-dropping-particle" : "", "parse-names" : false, "suffix" : "" } ], "container-title" : "Nature Neuroscience", "id" : "ITEM-2", "issue" : "12", "issued" : { "date-parts" : [ [ "1999" ] ] }, "page" : "1131-1136", "publisher" : "Nature Publishing Group", "title" : "Dual streams of auditory afferents target multiple domains in the primate prefrontal cortex", "type" : "article-journal", "volume" : "2" }, "uris" : [ "http://www.mendeley.com/documents/?uuid=fa165ee4-c9a7-45c3-86bf-f3de3fcd4206" ] }, { "id" : "ITEM-3", "itemData" : { "DOI" : "10.1002/(SICI)1096-9861(19990111)403:2&lt;141::AID-CNE1&gt;3.0.CO;2-V", "ISBN" : "1096-9861", "ISSN" : "00219967", "PMID" : "9886040", "abstract" : "Recent anatomical and electrophysiological studies have expanded our knowledge of the auditory cortical system in primates and have described its organization as a series of concentric circles with a central or primary auditory core, surrounded by a lateral and medial belt of secondary auditory cortex with a tertiary parabelt cortex just lateral to this belt. Because recent studies have shown that rostral and caudal belt and parabelt cortices have distinct patterns of connections and acoustic responsivity, we hypothesized that these divergent auditory regions might have distinct targets in the frontal lobe. We, therefore, placed discrete injections of wheat germ agglutinin-horseradish peroxidase or fluorescent retrograde tracers into the prefrontal cortex of macaque monkeys and analyzed the anterograde and retrograde labeling in the aforementioned auditory areas. Injections that included rostral and orbital prefrontal areas (10, 46 rostral, 12) labeled the rostral belt and parabelt most heavily, whereas injections including the caudal principal sulcus (area 46), periarcuate cortex (area 8a), and ventrolateral prefrontal cortex (area12vl) labeled the caudal belt and parabelt. Projections originating in the parabelt cortex were denser than those arising from the lateral or medial belt cortices in most cases. In addition, the anterior third of the superior temporal gyrus and the dorsal bank of the superior temporal sulcus were also labeled after prefrontal injections, confirming previous studies. The present topographical results suggest that acoustic information diverges into separate streams that target distinct rostral and caudal domains of the prefrontal cortex, which may serve different acoustic functions.", "author" : [ { "dropping-particle" : "", "family" : "Romanski", "given" : "L. M.", "non-dropping-particle" : "", "parse-names" : false, "suffix" : "" }, { "dropping-particle" : "", "family" : "Bates", "given" : "J. F.", "non-dropping-particle" : "", "parse-names" : false, "suffix" : "" }, { "dropping-particle" : "", "family" : "Goldman-Rakic", "given" : "P. S.", "non-dropping-particle" : "", "parse-names" : false, "suffix" : "" } ], "container-title" : "Journal of Comparative Neurology", "id" : "ITEM-3", "issue" : "2", "issued" : { "date-parts" : [ [ "1999" ] ] }, "note" : "0021-9967 (Print)\nJournal Article\nResearch Support, Non-U.S. Gov't\nResearch Support, U.S. Gov't, P.H.S.", "page" : "141-157", "title" : "Auditory belt and parabelt projections to the prefrontal cortex in the rhesus monkey", "type" : "article-journal", "volume" : "403" }, "uris" : [ "http://www.mendeley.com/documents/?uuid=76c9d22a-077e-414c-b9c3-9c13c3423799" ] } ], "mendeley" : { "formattedCitation" : "(Pandya and Barnes, 1987; Romanski et al., 1999a, 1999b)", "plainTextFormattedCitation" : "(Pandya and Barnes, 1987; Romanski et al., 1999a, 1999b)", "previouslyFormattedCitation" : "(Pandya and Barnes, 1987; Romanski et al., 1999b, 1999a)"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91" w:name="__Fieldmark__967_2073936654"/>
            <w:bookmarkStart w:id="92" w:name="__Fieldmark__1076_531023477"/>
            <w:bookmarkStart w:id="93" w:name="__Fieldmark__1344_582625014"/>
            <w:r w:rsidR="007F4106" w:rsidRPr="007C17A6">
              <w:rPr>
                <w:rFonts w:ascii="Times New Roman" w:hAnsi="Times New Roman" w:cs="Times New Roman"/>
                <w:noProof/>
                <w:sz w:val="24"/>
                <w:szCs w:val="24"/>
              </w:rPr>
              <w:t>(Pandya and Barnes, 1987; Romanski et al., 1999a, 1999b)</w:t>
            </w:r>
            <w:r w:rsidRPr="007C17A6">
              <w:rPr>
                <w:rFonts w:ascii="Times New Roman" w:hAnsi="Times New Roman" w:cs="Times New Roman"/>
                <w:sz w:val="24"/>
                <w:szCs w:val="24"/>
              </w:rPr>
              <w:fldChar w:fldCharType="end"/>
            </w:r>
            <w:bookmarkEnd w:id="91"/>
            <w:bookmarkEnd w:id="92"/>
            <w:bookmarkEnd w:id="93"/>
          </w:p>
        </w:tc>
      </w:tr>
      <w:tr w:rsidR="00BB04AA" w:rsidRPr="007C17A6" w14:paraId="6D152AF4"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4B7F2B"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 xml:space="preserve">AT, </w:t>
            </w:r>
            <w:proofErr w:type="spellStart"/>
            <w:r w:rsidRPr="007C17A6">
              <w:rPr>
                <w:rFonts w:ascii="Times New Roman" w:hAnsi="Times New Roman" w:cs="Times New Roman"/>
                <w:sz w:val="24"/>
                <w:szCs w:val="24"/>
              </w:rPr>
              <w:t>PF</w:t>
            </w:r>
            <w:r w:rsidRPr="007C17A6">
              <w:rPr>
                <w:rFonts w:ascii="Times New Roman" w:hAnsi="Times New Roman" w:cs="Times New Roman"/>
                <w:sz w:val="24"/>
                <w:szCs w:val="24"/>
                <w:vertAlign w:val="subscript"/>
              </w:rPr>
              <w:t>i</w:t>
            </w:r>
            <w:proofErr w:type="spellEnd"/>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5A87B6" w14:textId="635A73BA"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"ISBN" : "0-936925-00-0 (Hardcover)", "abstract" : "understanding of the precise organization of frontal lobe interrelations with other cortical and subcortical regions data on the afferent and efferent connections of the frontal lobe novel approach that . . . seeks to explain cortical function in light of the evolution of the cerebral cortex / cortical cytoarchitecture anatomy of the monkey brain (\"Macaca mulatta\")", "author" : [ { "dropping-particle" : "", "family" : "Pandya", "given" : "Deepak N", "non-dropping-particle" : "", "parse-names" : false, "suffix" : "" }, { "dropping-particle" : "", "family" : "Barnes", "given" : "Clifford L", "non-dropping-particle" : "", "parse-names" : false, "suffix" : "" } ], "container-title" : "The frontal lobes revisited", "editor" : [ { "dropping-particle" : "", "family" : "Perecman", "given" : "E", "non-dropping-particle" : "", "parse-names" : false, "suffix" : "" } ], "id" : "ITEM-1", "issued" : { "date-parts" : [ [ "1987" ] ] }, "page" : "41-72", "publisher" : "The IRBN Press", "publisher-place" : "New York", "title" : "Architecture and connections of the frontal lobe", "type" : "chapter" }, "uris" : [ "http://www.mendeley.com/documents/?uuid=bc777bd6-2a63-4a0b-a8e5-a29aa1804d11" ] }, { "id" : "ITEM-2", "itemData" : { "DOI" : "10.1371/journal.pbio.1000170", "ISBN" : "1545-7885 (Electronic)", "ISSN" : "15449173", "PMID" : "19668354", "abstract" : "The homologues of the two distinct architectonic areas 44 and 45 that constitute the anterior language zone (Broca's region) in the human ventrolateral frontal lobe were recently established in the macaque monkey. Although we know that the inferior parietal lobule and the lateral temporal cortical region project to the ventrolateral frontal cortex, we do not know which of the several cortical areas found in those regions project to the homologues of Broca's region in the macaque monkey and by means of which white matter pathways. We have used the autoradiographic method, which permits the establishment of the cortical area from which axons originate (i.e., the site of injection), the precise course of the axons in the white matter, and their termination within particular cortical areas, to examine the parietal and temporal connections to area 44 and the two subdivisions of area 45 (i.e., areas 45A and 45B). The results demonstrated a ventral temporo-frontal stream of fibers that originate from various auditory, multisensory, and visual association cortical areas in the intermediate superolateral temporal region. These axons course via the extreme capsule and target most strongly area 45 with a more modest termination in area 44. By contrast, a dorsal stream of axons that originate from various cortical areas in the inferior parietal lobule and the adjacent caudal superior temporal sulcus was found to target both areas 44 and 45. These axons course in the superior longitudinal fasciculus, with some axons originating from the ventral inferior parietal lobule and the adjacent superior temporal sulcus arching and forming a simple arcuate fasciculus. The cortex of the most rostral part of the inferior parietal lobule is preferentially linked with the ventral premotor cortex (ventral area 6) that controls the orofacial musculature. The cortex of the intermediate part of the inferior parietal lobule is linked with both areas 44 and 45. These findings demonstrate the posterior parietal and temporal connections of the ventrolateral frontal areas, which, in the left hemisphere of the human brain, were adapted for various aspects of language production. These precursor circuits that are found in the nonlinguistic, nonhuman, primate brain also exist in the human brain. The possible reasons why these areas were adapted for language use in the human brain are discussed. The results throw new light on the prelinguistic precursor circuitry of Broca's region and help un\u2026", "author" : [ { "dropping-particle" : "", "family" : "Petrides", "given" : "Michael", "non-dropping-particle" : "", "parse-names" : false, "suffix" : "" }, { "dropping-particle" : "", "family" : "Pandya", "given" : "Deepak N.", "non-dropping-particle" : "", "parse-names" : false, "suffix" : "" } ], "container-title" : "PLoS Biology", "id" : "ITEM-2", "issue" : "8", "issued" : { "date-parts" : [ [ "2009" ] ] }, "note" : "1545-7885 (Electronic)\nJournal Article\nResearch Support, Non-U.S. Gov't", "page" : "e1000170", "title" : "Distinct parietal and temporal pathways to the homologues of Broca's area in the monkey", "type" : "article-journal", "volume" : "7" }, "uris" : [ "http://www.mendeley.com/documents/?uuid=c95eb544-2017-44c9-8277-59572f97ef5b" ] }, { "id" : "ITEM-3", "itemData" : { "DOI" : "10.1016/j.tics.2013.09.013", "ISBN" : "1364-6613", "ISSN" : "13646613", "PMID" : "24501779", "abstract" : "Comparative neuroimaging can identify unique features of the human brain and teach us about human brain evolution. Comparisons with chimpanzees, our closest living primate relative, are critical in this endeavor. Structural magnetic resonance imaging (MRI) has been used to compare brain size development, brain structure proportions and brain aging. Positron emission tomography (PET) imaging has been used to compare resting brain glucose metabolism. Functional MRI (fMRI) has been used to compare auditory and visual system pathways, as well as resting-state networks of connectivity. Finally, diffusion-weighted imaging (DWI) has been used to compare structural connectivity. Collectively, these methods have revealed human brain specializations with respect to development, cortical organization, connectivity, and aging. These findings inform our knowledge of the evolutionary changes responsible for the special features of the modern human mind. ?? 2013 Elsevier Ltd.", "author" : [ { "dropping-particle" : "", "family" : "Rilling", "given" : "James K.", "non-dropping-particle" : "", "parse-names" : false, "suffix" : "" } ], "container-title" : "Trends in Cognitive Sciences", "id" : "ITEM-3", "issue" : "1", "issued" : { "date-parts" : [ [ "2014" ] ] }, "page" : "46-55", "title" : "Comparative primate neuroimaging: Insights into human brain evolution", "type" : "article-journal", "volume" : "18" }, "uris" : [ "http://www.mendeley.com/documents/?uuid=f1d8818a-426a-42d7-9321-24619ebcfe4f" ] }, { "id" : "ITEM-4", "itemData" : { "DOI" : "10.1093/cercor/bhm099", "ISBN" : "1047-3211 (Print)\\n1047-3211 (Linking)", "ISSN" : "10473211", "PMID" : "17634387", "abstract" : "Through the influence of Goldman-Rakic, much research has been focused on the role of the dorsolateral prefrontal cortex in spatial working memory, decision making, and saccade generation, whereas functions of other parts of the frontal lobe including the ventrolateral prefrontal cortex (VLPFC) are less clear. Previous studies in non-human primates have shown that some VLPFC cells are selectively responsive to faces. Recent findings indicate that adjacent to the region where face- and object-selective cells have been recorded are neurons which respond to complex sounds including human and monkey vocalizations. Furthermore, when neurons in this same region are tested with combined face and voice communication stimuli, it is apparent that some cells in VLPFC are multisensory and respond to audiovisual stimuli. The determination that ventral prefrontal neurons are multisensory and responsive to auditory and visual communication stimuli may help to establish an animal model to assist in the investigation of the circuit and cellular basis of human communication. This will also aid in the understanding of general frontal lobe function and the processes that go awry in disorders including autism and schizophrenia, where disturbances in prefrontal function have been noted.", "author" : [ { "dropping-particle" : "", "family" : "Romanski", "given" : "Lizabeth M.", "non-dropping-particle" : "", "parse-names" : false, "suffix" : "" } ], "container-title" : "Cerebral Cortex", "edition" : "2007/07/20", "id" : "ITEM-4", "issue" : "SUPPL. 1", "issued" : { "date-parts" : [ [ "2007" ] ] }, "language" : "eng", "note" : "Romanski, Lizabeth M\nR01 DC004845-07/DC/NIDCD NIH HHS/\nNew York, N.Y. : 1991\nCereb Cortex. 2007 Sep;17 Suppl 1:i61-9. Epub 2007 Jul 18.", "page" : "i61-i69", "title" : "Representation and integration of auditory and visual stimuli in the primate ventral lateral prefrontal cortex", "type" : "article-journal", "volume" : "17" }, "uris" : [ "http://www.mendeley.com/documents/?uuid=b3a25847-2384-429d-8384-c553818d593f" ] }, { "id" : "ITEM-5", "itemData" : { "DOI" : "10.1007/BF00248903", "ISBN" : "0014-4819 (Print)\\r0014-4819 (Linking)", "ISSN" : "0014-4819", "PMID" : "2792241", "abstract" : "In five rhesus monkeys (Macaca mulatta) we used anterograde and retrograde tracing techniques to investigate the projection from the inferior temporal cortex (area TE) to the prefrontal cortex as well as the course of the projecting fibers. The results showed that TE projects to both the inferior convexity and orbital surface of prefrontal cortex and that these projections course almost exclusively via the uncinate fascicle. Transection of the uncinate fascicle deprives the prefrontal cortex of virtually all input from TE, but leaves intact inputs from prestriate and parietal visual areas as well as the amygdala. Such transection also leaves intact many projections from TE to targets other than the prefrontal cortex, including the amygdala, ventral putamen, tail of the caudate nucleus, and pulvinar.", "author" : [ { "dropping-particle" : "", "family" : "Ungerleider", "given" : "L G", "non-dropping-particle" : "", "parse-names" : false, "suffix" : "" }, { "dropping-particle" : "", "family" : "Gaffan", "given" : "D", "non-dropping-particle" : "", "parse-names" : false, "suffix" : "" }, { "dropping-particle" : "", "family" : "Pelak", "given" : "V S", "non-dropping-particle" : "", "parse-names" : false, "suffix" : "" } ], "container-title" : "Experimental brain research. Experimentelle Hirnforschung. Experimentation cerebrale", "id" : "ITEM-5", "issue" : "3", "issued" : { "date-parts" : [ [ "1989" ] ] }, "note" : "0014-4819 (Print)\n0014-4819 (Linking)\nJournal Article\nResearch Support, Non-U.S. Gov't", "page" : "473-484", "title" : "Projections from inferior temporal cortex to prefrontal cortex via the uncinate fascicle in rhesus monkeys.", "type" : "article-journal", "volume" : "76" }, "uris" : [ "http://www.mendeley.com/documents/?uuid=756df9be-4dc8-41c0-9c29-8bc651235d4b" ] }, { "id" : "ITEM-6", "itemData" : { "DOI" : "10.1093/cercor/4.5.470", "ISBN" : "1047-3211 (Print)\\r1047-3211 (Linking)", "ISSN" : "1047-3211", "PMID" : "7530521", "abstract" : "Inferior temporal cortex is perhaps the highest visual processing area and much anatomical work has focused on its connections with other visual areas in temporal and occipital cortex. Here we report connections of inferior temporal cortex with regions in the frontal and parietal lobes. Inferior temporal areas TEO and TE were injected with WGA-HRP and 3H-AA, respectively, or vice versa, in 1-week-old infant and 3-4-year-old adult monkeys (Macaca mulatta). The results indicated that whereas TEO has more extensive connections with parietal areas, TE has more extensive connections with prefrontal areas. Thus, in the intraparietal sulcus, area TEO is connected with areas LIPd, LIPv, and V3A, and with the as yet undefined region between LIPv and V3A, whereas the connections of TE are predominantly with LIPd, and to a lesser extent with LIPv. In the prefrontal cortex, area TE is connected with areas 8 and 45 in the inferior limb of the anterior bank of the arcuate sulcus, with area 12 on the inferior prefrontal convexity, and with areas 11 and 13 on the orbital surface. By contrast, the connections of area TEO are limited to areas 8, 45, and 12. Furthermore, within prefrontal cortex, the projections from areas TEO and TE terminate in different layers in areas 8 and 45, such that those from TEO terminate in all layers, whereas those from TEO terminate in layers I and V/VI only. In contrast to the connections of areas TEO and TE with various medial temporal-lobe and subcortical structures, which are immature in infant monkeys (Webster et al., 1991, 1993b), the connections with parietal and prefrontal areas appear adult-like as early as 1 week of age.", "author" : [ { "dropping-particle" : "", "family" : "Webster", "given" : "M J", "non-dropping-particle" : "", "parse-names" : false, "suffix" : "" }, { "dropping-particle" : "", "family" : "Bachevalier", "given" : "J", "non-dropping-particle" : "", "parse-names" : false, "suffix" : "" }, { "dropping-particle" : "", "family" : "Ungerleider", "given" : "Leslie G", "non-dropping-particle" : "", "parse-names" : false, "suffix" : "" } ], "container-title" : "Cerebral cortex", "id" : "ITEM-6", "issue" : "5", "issued" : { "date-parts" : [ [ "1994" ] ] }, "note" : "1047-3211 (Print)\n1047-3211 (Linking)\nJournal Article", "page" : "470-483", "title" : "Connections of inferior temporal areas TEO and TE with parietal and frontal cortex in macaque monkeys.", "type" : "article-journal", "volume" : "4" }, "uris" : [ "http://www.mendeley.com/documents/?uuid=e60c08e0-6c73-40dc-944f-c34dbf020d9a" ] } ], "mendeley" : { "formattedCitation" : "(Pandya and Barnes, 1987; Petrides and Pandya, 2009; Rilling, 2014; Romanski, 2007; Ungerleider et al., 1989; Webster et al., 1994)", "plainTextFormattedCitation" : "(Pandya and Barnes, 1987; Petrides and Pandya, 2009; Rilling, 2014; Romanski, 2007; Ungerleider et al., 1989; Webster et al., 1994)", "previouslyFormattedCitation" : "(Pandya and Barnes, 1987; Petrides and Pandya, 2009; Rilling, 2014; Romanski, 2007; Ungerleider et al., 1989; Webster et al., 1994)"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94" w:name="__Fieldmark__980_2073936654"/>
            <w:bookmarkStart w:id="95" w:name="__Fieldmark__1086_531023477"/>
            <w:bookmarkStart w:id="96" w:name="__Fieldmark__1355_582625014"/>
            <w:r w:rsidRPr="007C17A6">
              <w:rPr>
                <w:rFonts w:ascii="Times New Roman" w:hAnsi="Times New Roman" w:cs="Times New Roman"/>
                <w:noProof/>
                <w:sz w:val="24"/>
                <w:szCs w:val="24"/>
              </w:rPr>
              <w:t>(Pandya and Barnes, 1987; Petrides and Pandya, 2009; Rilling, 2014; Romanski, 2007; Ungerleider et al., 1989; Webster et al., 1994)</w:t>
            </w:r>
            <w:r w:rsidRPr="007C17A6">
              <w:rPr>
                <w:rFonts w:ascii="Times New Roman" w:hAnsi="Times New Roman" w:cs="Times New Roman"/>
                <w:sz w:val="24"/>
                <w:szCs w:val="24"/>
              </w:rPr>
              <w:fldChar w:fldCharType="end"/>
            </w:r>
            <w:bookmarkEnd w:id="94"/>
            <w:bookmarkEnd w:id="95"/>
            <w:bookmarkEnd w:id="96"/>
          </w:p>
        </w:tc>
      </w:tr>
      <w:tr w:rsidR="00BB04AA" w:rsidRPr="007C17A6" w14:paraId="71F52862" w14:textId="77777777" w:rsidTr="00BB04AA">
        <w:trPr>
          <w:trHeight w:val="413"/>
        </w:trPr>
        <w:tc>
          <w:tcPr>
            <w:tcW w:w="93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1DCAAD" w14:textId="77777777" w:rsidR="00BB04AA" w:rsidRPr="007C17A6" w:rsidRDefault="00BB04AA">
            <w:pPr>
              <w:spacing w:after="0" w:line="240" w:lineRule="auto"/>
              <w:jc w:val="center"/>
              <w:rPr>
                <w:rFonts w:ascii="Times New Roman" w:hAnsi="Times New Roman" w:cs="Times New Roman"/>
                <w:sz w:val="26"/>
                <w:szCs w:val="26"/>
              </w:rPr>
            </w:pPr>
            <w:r w:rsidRPr="007C17A6">
              <w:rPr>
                <w:rFonts w:ascii="Times New Roman" w:hAnsi="Times New Roman" w:cs="Times New Roman"/>
                <w:b/>
                <w:sz w:val="26"/>
                <w:szCs w:val="26"/>
              </w:rPr>
              <w:t>High-order “jumping” links</w:t>
            </w:r>
            <w:r w:rsidRPr="007C17A6">
              <w:rPr>
                <w:rFonts w:ascii="Times New Roman" w:hAnsi="Times New Roman" w:cs="Times New Roman"/>
                <w:sz w:val="26"/>
                <w:szCs w:val="26"/>
              </w:rPr>
              <w:t xml:space="preserve"> (blue arrows)</w:t>
            </w:r>
          </w:p>
        </w:tc>
      </w:tr>
      <w:tr w:rsidR="00BB04AA" w:rsidRPr="007C17A6" w14:paraId="6091C7A6" w14:textId="77777777" w:rsidTr="00BB04AA">
        <w:trPr>
          <w:trHeight w:val="422"/>
        </w:trPr>
        <w:tc>
          <w:tcPr>
            <w:tcW w:w="93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1B3A20" w14:textId="20D937E6" w:rsidR="00BB04AA" w:rsidRPr="007C17A6" w:rsidRDefault="00BB04AA">
            <w:pPr>
              <w:spacing w:after="0" w:line="240" w:lineRule="auto"/>
              <w:jc w:val="center"/>
              <w:rPr>
                <w:rFonts w:ascii="Times New Roman" w:hAnsi="Times New Roman" w:cs="Times New Roman"/>
                <w:sz w:val="24"/>
                <w:szCs w:val="24"/>
              </w:rPr>
            </w:pPr>
            <w:r w:rsidRPr="007C17A6">
              <w:rPr>
                <w:rFonts w:ascii="Times New Roman" w:hAnsi="Times New Roman" w:cs="Times New Roman"/>
                <w:i/>
                <w:sz w:val="24"/>
                <w:szCs w:val="24"/>
              </w:rPr>
              <w:t xml:space="preserve">Perisylvian system </w:t>
            </w: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"10.3389/fnevo.2011.00011", "ISBN" : "1663-070X (Electronic)\\r1663-070X (Linking)", "ISSN" : "1663-070X", "PMID" : "22319495", "abstract" : "Recently, the assumption of evolutionary continuity between humans and non-human primates has been used to bolster the hypothesis that human language is mediated especially by the ventral extreme capsule pathway that mediates auditory object recognition in macaques. Here, we argue for the importance of evolutionary divergence in understanding brain language evolution. We present new comparative data reinforcing our previous conclusion that the dorsal arcuate fasciculus pathway was more significantly modified than the ventral extreme capsule pathway in human evolution. Twenty-six adult human and twenty-six adult chimpanzees were imaged with diffusion-weighted MRI and probabilistic tractography was used to track and compare the dorsal and ventral language pathways. Based on these and other data, we argue that the arcuate fasciculus is likely to be the pathway most essential for higher-order aspects of human language such as syntax and lexical-semantics.", "author" : [ { "dropping-particle" : "", "family" : "Rilling", "given" : "James K", "non-dropping-particle" : "", "parse-names" : false, "suffix" : "" }, { "dropping-particle" : "", "family" : "Glasser", "given" : "Matthew F", "non-dropping-particle" : "", "parse-names" : false, "suffix" : "" }, { "dropping-particle" : "", "family" : "Jbabdi", "given" : "Saad", "non-dropping-particle" : "", "parse-names" : false, "suffix" : "" }, { "dropping-particle" : "", "family" : "Andersson", "given" : "Jesper", "non-dropping-particle" : "", "parse-names" : false, "suffix" : "" }, { "dropping-particle" : "", "family" : "Preuss", "given" : "Todd M", "non-dropping-particle" : "", "parse-names" : false, "suffix" : "" } ], "container-title" : "Frontiers in evolutionary neuroscience", "id" : "ITEM-1", "issue" : "February 2016", "issued" : { "date-parts" : [ [ "2011" ] ] }, "page" : "11", "title" : "Continuity, divergence, and the evolution of brain language pathways.", "type" : "article-journal", "volume" : "3" }, "uris" : [ "http://www.mendeley.com/documents/?uuid=70278982-4de3-4819-b308-0b33828604a5", "http://www.mendeley.com/documents/?uuid=4cd0894b-4dc2-4634-a417-7e08b2dfa924" ] }, { "id" : "ITEM-2", "itemData" : { "DOI" : "10.1016/j.cortex.2011.10.001", "ISBN" : "0010-9452", "ISSN" : "00109452", "PMID" : "22088488", "abstract" : "The greater expansion of the frontal lobes along the phylogeny scale has been interpreted as the signature of evolutionary changes underlying higher cognitive abilities in humans functions in humans. However, it is unknown how an increase in number of gyri, sulci and cortical areas in the frontal lobe have coincided with a parallel increase in connectivity. Here, using advanced tractography based on spherical deconvolution, we produced an atlas of human frontal association connections that we compared with axonal tracing studies of the monkey brain. We report several similarities between human and monkey in the cingulum, uncinate, superior longitudinal fasciculus, frontal aslant tract and orbito-polar tract. These similarities suggest to preserved functions across anthropoids. In addition, we found major differences in the arcuate fasciculus and the inferior fronto-occipital fasciculus. These differences indicate possible evolutionary changes in the connectional anatomy of the frontal lobes underlying unique human abilities. ?? 2011 Elsevier Srl.", "author" : [ { "dropping-particle" : "", "family" : "Thiebaut de Schotten", "given" : "Michel", "non-dropping-particle" : "", "parse-names" : false, "suffix" : "" }, { "dropping-particle" : "", "family" : "Dell'Acqua", "given" : "Flavio", "non-dropping-particle" : "", "parse-names" : false, "suffix" : "" }, { "dropping-particle" : "", "family" : "Valabregue", "given" : "Romain", "non-dropping-particle" : "", "parse-names" : false, "suffix" : "" }, { "dropping-particle" : "", "family" : "Catani", "given" : "Marco", "non-dropping-particle" : "", "parse-names" : false, "suffix" : "" } ], "container-title" : "Cortex", "id" : "ITEM-2", "issue" : "1", "issued" : { "date-parts" : [ [ "2012" ] ] }, "page" : "82-96", "publisher" : "Elsevier Srl", "title" : "Monkey to human comparative anatomy of the frontal lobe association tracts", "type" : "article-journal", "volume" : "48" }, "uris" : [ "http://www.mendeley.com/documents/?uuid=cbdaecf9-0c90-4ef0-9c8a-0f00023b9781" ] }, { "id" : "ITEM-3", "itemData" : { "DOI" : "10.1038/nn2072", "ISBN" : "1097-6256 (Print)\\r1097-6256 (Linking)", "ISSN" : "1097-6256", "PMID" : "18344993", "abstract" : "The arcuate fasciculus is a white-matter fiber tract that is involved in human language. Here we compared cortical connectivity in humans, chimpanzees and macaques (Macaca mulatta) and found a prominent temporal lobe projection of the human arcuate fasciculus that is much smaller or absent in nonhuman primates. This human specialization may be relevant to the evolution of language.", "author" : [ { "dropping-particle" : "", "family" : "Rilling", "given" : "James K", "non-dropping-particle" : "", "parse-names" : false, "suffix" : "" }, { "dropping-particle" : "", "family" : "Glasser", "given" : "Matthew F", "non-dropping-particle" : "", "parse-names" : false, "suffix" : "" }, { "dropping-particle" : "", "family" : "Preuss", "given" : "Todd M", "non-dropping-particle" : "", "parse-names" : false, "suffix" : "" }, { "dropping-particle" : "", "family" : "Ma", "given" : "Xiangyang", "non-dropping-particle" : "", "parse-names" : false, "suffix" : "" }, { "dropping-particle" : "", "family" : "Zhao", "given" : "Tiejun", "non-dropping-particle" : "", "parse-names" : false, "suffix" : "" }, { "dropping-particle" : "", "family" : "Hu", "given" : "Xiaoping", "non-dropping-particle" : "", "parse-names" : false, "suffix" : "" }, { "dropping-particle" : "", "family" : "Behrens", "given" : "Timothy E J", "non-dropping-particle" : "", "parse-names" : false, "suffix" : "" } ], "container-title" : "Nature Neuroscience", "id" : "ITEM-3", "issue" : "4", "issued" : { "date-parts" : [ [ "2008" ] ] }, "page" : "426-428", "publisher" : "New York, NY: Nature America Inc., c1998-", "title" : "The evolution of the arcuate fasciculus revealed with comparative DTI", "type" : "article-journal", "volume" : "11" }, "uris" : [ "http://www.mendeley.com/documents/?uuid=70306eb4-aac6-451a-a3e9-0619d4ac69fa" ] }, { "id" : "ITEM-4", "itemData" : { "DOI" : "10.1159/000488886", "ISSN" : "14219743", "PMID" : "30099461", "abstract" : "A connectome is a comprehensive map of neural connections of a species nervous system. While recent work has begun comparing connectomes across a wide breadth of species, we present here a more detailed and specific comparison of connectomes across the primate order. Long-range connections are thought to improve communication efficiency and thus brain function but are costly in terms of energy and space utilization. Methods for measuring connectivity in the brain include measuring white matter volume, histological cell counting, anatomical tract tracing, diffusion-weighted imaging and tractography, and functional connectivity in MRI. Comparisons of global white matter connectivity suggest that larger primate brains are less well connected than smaller primate brains, but that humans have more connections than expected for our cortical neuron number, which may be concentrated in the prefrontal cortex. Although there is significant overlap in structural connectivity between humans and nonhuman primates, human-specific connections are found in cortical areas involved with language, imitation, and tool use. Similar to structural connectivity, there is also widespread overlap between humans and macaques in resting state functional connectivity. However, there are again a number of human-specific connections in cortical regions involved in language, tool use, and empathy. Comparative connectomics also offers the opportunity to detect specializations of connectivity in other primate species besides humans. Future research should capitalize on the ability of diffusion tractography to measure connectivity in postmortem brains that could expand the representation of species beyond humans, chimpanzees, and rhesus macaques, and facilitate identification of connectivity-based adaptations to different social and ecological niches. This work will require careful attention to establishing cortical homologies across species and to improving tractography methods to limit detection of false-positive and false-negative connections. Finally, it will be important to attempt to establish the functional significance of variation in connectivity profiles by examining how these covary with behavior and cognition both across and within species.", "author" : [ { "dropping-particle" : "", "family" : "Rilling", "given" : "James K.", "non-dropping-particle" : "", "parse-names" : false, "suffix" : "" }, { "dropping-particle" : "", "family" : "Heuvel", "given" : "Martijn P.", "non-dropping-particle" : "Van Den", "parse-names" : false, "suffix" : "" } ], "container-title" : "Brain, Behavior and Evolution", "id" : "ITEM-4", "issue" : "3", "issued" : { "date-parts" : [ [ "2018" ] ] }, "page" : "170-179", "title" : "Comparative primate connectomics", "type" : "article-journal", "volume" : "91" }, "uris" : [ "http://www.mendeley.com/documents/?uuid=0d93910d-00a6-4b0a-95b3-3b98923d95ad" ] } ], "mendeley" : { "formattedCitation" : "(Rilling et al., 2011, 2008; Rilling and Van Den Heuvel, 2018; Thiebaut de Schotten et al., 2012)", "plainTextFormattedCitation" : "(Rilling et al., 2011, 2008; Rilling and Van Den Heuvel, 2018; Thiebaut de Schotten et al., 2012)", "previouslyFormattedCitation" : "(Rilling et al., 2011, 2008; Rilling and Van Den Heuvel, 2018; Thiebaut de Schotten et al., 2012)"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97" w:name="__Fieldmark__1031_2073936654"/>
            <w:bookmarkStart w:id="98" w:name="__Fieldmark__1145_531023477"/>
            <w:bookmarkStart w:id="99" w:name="__Fieldmark__1423_582625014"/>
            <w:r w:rsidR="00A723B5" w:rsidRPr="007C17A6">
              <w:rPr>
                <w:rFonts w:ascii="Times New Roman" w:hAnsi="Times New Roman" w:cs="Times New Roman"/>
                <w:noProof/>
                <w:sz w:val="24"/>
                <w:szCs w:val="24"/>
              </w:rPr>
              <w:t>(Rilling et al., 2011, 2008; Rilling and Van Den Heuvel, 2018; Thiebaut de Schotten et al., 2012)</w:t>
            </w:r>
            <w:r w:rsidRPr="007C17A6">
              <w:rPr>
                <w:rFonts w:ascii="Times New Roman" w:hAnsi="Times New Roman" w:cs="Times New Roman"/>
                <w:sz w:val="24"/>
                <w:szCs w:val="24"/>
              </w:rPr>
              <w:fldChar w:fldCharType="end"/>
            </w:r>
            <w:bookmarkEnd w:id="97"/>
            <w:bookmarkEnd w:id="98"/>
            <w:bookmarkEnd w:id="99"/>
          </w:p>
        </w:tc>
      </w:tr>
      <w:tr w:rsidR="00BB04AA" w:rsidRPr="007C17A6" w14:paraId="23D374B9"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A505F8"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A1, PB</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E2CCB0" w14:textId="4AA344CA"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"10.1007/978-1-4757-9619-3_1", "ISBN" : "978-1-4757-9621-6, 978-1-4757-9619-3", "abstract" : "The execution of behavior depends on the integration of activity at various levels of the central nervous system. Nevertheless, different regions of the nervous system have been shown to participate in specific functions. Whereas, at the cortical level, the primary and secondary sensory areas are involved in the elementary analysis of incoming information, the other regions of the cerebral cortex contribute to a variety of complex processes (Figs. 1 and 2). These latter regions are designated as association areas and may be conceptualized as being interposed between the external and the internal environments (Figs. 1 and 3). These areas are highly developed in primates and have been subdivided on the basis of architecture, their cortical and subcortical connections, and function, into several different types. For example, cortical areas subjacent to the primary sensory regions are termed first-order parasensory areas (Fig. 3), while those beyond the first-order parasensory areas are designated as second-order or third-order association areas (Jones and Powell, 1970a; Chavis and Pandya, 1976). Other cortical regions, which are situated at the junctions of modality-specificregions in parietal, occipital, and temporal cortices (Fig. 4), are termed multi-modal areas (Jones and Powell, 1970a; Seltzer and Pandya, 1976, 1978, 1980). Within the frontal lobe, beyond the motor cortex, a similar categorization of association areas has been identified (Jones and Powell, 1970a; Chavis and Pandya, 1976). Finally, the medial and ventral portions of the cerebral cortex contain groups of specialized regions (Fig. 5) which are termed paralimbic regions (Locke et al., 1964; Yakovlev et al., 1966; Pandya and Seltzer, 1982b).", "author" : [ { "dropping-particle" : "", "family" : "Pandya", "given" : "Deepak N.", "non-dropping-particle" : "", "parse-names" : false, "suffix" : "" }, { "dropping-particle" : "", "family" : "Yeterian", "given" : "Edward H.", "non-dropping-particle" : "", "parse-names" : false, "suffix" : "" } ], "collection-title" : "Cerebral Cortex", "container-title" : "Association and Auditory Cortices SE  - 1", "editor" : [ { "dropping-particle" : "", "family" : "Peters", "given" : "Alan", "non-dropping-particle" : "", "parse-names" : false, "suffix" : "" }, { "dropping-particle" : "", "family" : "Jones", "given" : "EdwardG.", "non-dropping-particle" : "", "parse-names" : false, "suffix" : "" } ], "id" : "ITEM-1", "issued" : { "date-parts" : [ [ "1985" ] ] }, "language" : "English", "page" : "3-61", "publisher" : "Springer US", "title" : "Architecture and Connections of Cortical Association Areas", "type" : "chapter", "volume" : "4" }, "uris" : [ "http://www.mendeley.com/documents/?uuid=dde6a8b0-b6b5-4101-bbe2-80bd3e76f041" ] }, { "id" : "ITEM-2", "itemData" : { "DOI" : "10.1515/REVNEURO.1994.5.3.227", "ISBN" : "0334-1763 (Print)", "ISSN" : "21910200", "PMID" : "7889215", "abstract" : "The mammalian cerebral cortex is composed of many distinct areas, which are very richly interconnected. The very large number of connections between cortical areas require analysis to be undertaken before reliable conclusions about the organization of neural systems in the cortex can be drawn. We review the methodology and results of two means of analysing central nervous connectivity, hierarchical analysis and optimization analysis. We conclude that these methods are reliable methods for analysing neural connectivity data, and that their results concur. The analyses indicate that all major cortical sensory systems are organized hierarchically, some central sensory systems are divided structurally into several \"streams\" of processing, the cortical motor system is embedded in the cortical somatosensory system, the frontal and limbic structures are connectionally associated, and that these frontal and limbic areas are invariably associated with the least peripheral sensory processing regions, and are therefore connectionally central. Finally, we discuss the differences on this common plan between the organizations of the cat and primate that these analyses reveal.", "author" : [ { "dropping-particle" : "", "family" : "Young", "given" : "M. P.", "non-dropping-particle" : "", "parse-names" : false, "suffix" : "" }, { "dropping-particle" : "", "family" : "Scannell", "given" : "J. W.", "non-dropping-particle" : "", "parse-names" : false, "suffix" : "" }, { "dropping-particle" : "", "family" : "Burns", "given" : "G. A P C", "non-dropping-particle" : "", "parse-names" : false, "suffix" : "" }, { "dropping-particle" : "", "family" : "Blakemore", "given" : "C.", "non-dropping-particle" : "", "parse-names" : false, "suffix" : "" } ], "container-title" : "Reviews in the Neurosciences", "id" : "ITEM-2", "issue" : "3", "issued" : { "date-parts" : [ [ "1994" ] ] }, "page" : "227-250", "title" : "Analysis of connectivity: Neural systems in the cerebral cortex", "type" : "article-journal", "volume" : "5" }, "uris" : [ "http://www.mendeley.com/documents/?uuid=c35e4744-364f-48e0-b203-2d46e28c1cc5" ] } ], "mendeley" : { "formattedCitation" : "(Pandya and Yeterian, 1985; Young et al., 1994)", "plainTextFormattedCitation" : "(Pandya and Yeterian, 1985; Young et al., 1994)", "previouslyFormattedCitation" : "(Pandya and Yeterian, 1985; Young et al., 1994)"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100" w:name="__Fieldmark__995_2073936654"/>
            <w:bookmarkStart w:id="101" w:name="__Fieldmark__1109_531023477"/>
            <w:bookmarkStart w:id="102" w:name="__Fieldmark__1392_582625014"/>
            <w:r w:rsidRPr="007C17A6">
              <w:rPr>
                <w:rFonts w:ascii="Times New Roman" w:hAnsi="Times New Roman" w:cs="Times New Roman"/>
                <w:noProof/>
                <w:sz w:val="24"/>
                <w:szCs w:val="24"/>
              </w:rPr>
              <w:t>(Pandya and Yeterian, 1985; Young et al., 1994)</w:t>
            </w:r>
            <w:r w:rsidRPr="007C17A6">
              <w:rPr>
                <w:rFonts w:ascii="Times New Roman" w:hAnsi="Times New Roman" w:cs="Times New Roman"/>
                <w:sz w:val="24"/>
                <w:szCs w:val="24"/>
              </w:rPr>
              <w:fldChar w:fldCharType="end"/>
            </w:r>
            <w:bookmarkEnd w:id="100"/>
            <w:bookmarkEnd w:id="101"/>
            <w:bookmarkEnd w:id="102"/>
          </w:p>
        </w:tc>
      </w:tr>
      <w:tr w:rsidR="00BB04AA" w:rsidRPr="007C17A6" w14:paraId="7D73C43A"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31AF8F"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 xml:space="preserve">PB, </w:t>
            </w:r>
            <w:proofErr w:type="spellStart"/>
            <w:r w:rsidRPr="007C17A6">
              <w:rPr>
                <w:rFonts w:ascii="Times New Roman" w:hAnsi="Times New Roman" w:cs="Times New Roman"/>
                <w:sz w:val="24"/>
                <w:szCs w:val="24"/>
              </w:rPr>
              <w:t>PMi</w:t>
            </w:r>
            <w:proofErr w:type="spellEnd"/>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28A5F7" w14:textId="65357C71" w:rsidR="00BB04AA" w:rsidRPr="007C17A6" w:rsidRDefault="00BB04AA">
            <w:pPr>
              <w:tabs>
                <w:tab w:val="left" w:pos="1125"/>
              </w:tabs>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"10.1073/pnas.0805234105", "ISBN" : "1091-6490 (Electronic)", "ISSN" : "1091-6490", "PMID" : "19004769", "abstract" : "Built on an analogy between the visual and auditory systems, the following dual stream model for language processing was suggested recently: a dorsal stream is involved in mapping sound to articulation, and a ventral stream in mapping sound to meaning. The goal of the study presented here was to test the neuroanatomical basis of this model. Combining functional magnetic resonance imaging (fMRI) with a novel diffusion tensor imaging (DTI)-based tractography method we were able to identify the most probable anatomical pathways connecting brain regions activated during two prototypical language tasks. Sublexical repetition of speech is subserved by a dorsal pathway, connecting the superior temporal lobe and premotor cortices in the frontal lobe via the arcuate and superior longitudinal fascicle. In contrast, higher-level language comprehension is mediated by a ventral pathway connecting the middle temporal lobe and the ventrolateral prefrontal cortex via the extreme capsule. Thus, according to our findings, the function of the dorsal route, traditionally considered to be the major language pathway, is mainly restricted to sensory-motor mapping of sound to articulation, whereas linguistic processing of sound to meaning requires temporofrontal interaction transmitted via the ventral route.", "author" : [ { "dropping-particle" : "", "family" : "Saur", "given" : "Dorothee", "non-dropping-particle" : "", "parse-names" : false, "suffix" : "" }, { "dropping-particle" : "", "family" : "Kreher", "given" : "Bj\u00f6rn W", "non-dropping-particle" : "", "parse-names" : false, "suffix" : "" }, { "dropping-particle" : "", "family" : "Schnell", "given" : "Susanne", "non-dropping-particle" : "", "parse-names" : false, "suffix" : "" }, { "dropping-particle" : "", "family" : "K\u00fcmmerer", "given" : "Dorothee", "non-dropping-particle" : "", "parse-names" : false, "suffix" : "" }, { "dropping-particle" : "", "family" : "Kellmeyer", "given" : "Philipp", "non-dropping-particle" : "", "parse-names" : false, "suffix" : "" }, { "dropping-particle" : "", "family" : "Vry", "given" : "Magnus-Sebastian", "non-dropping-particle" : "", "parse-names" : false, "suffix" : "" }, { "dropping-particle" : "", "family" : "Umarova", "given" : "Roza", "non-dropping-particle" : "", "parse-names" : false, "suffix" : "" }, { "dropping-particle" : "", "family" : "Musso", "given" : "Mariacristina", "non-dropping-particle" : "", "parse-names" : false, "suffix" : "" }, { "dropping-particle" : "", "family" : "Glauche", "given" : "Volkmar", "non-dropping-particle" : "", "parse-names" : false, "suffix" : "" }, { "dropping-particle" : "", "family" : "Abel", "given" : "Stefanie", "non-dropping-particle" : "", "parse-names" : false, "suffix" : "" }, { "dropping-particle" : "", "family" : "Huber", "given" : "Walter", "non-dropping-particle" : "", "parse-names" : false, "suffix" : "" }, { "dropping-particle" : "", "family" : "Rijntjes", "given" : "Michel", "non-dropping-particle" : "", "parse-names" : false, "suffix" : "" }, { "dropping-particle" : "", "family" : "Hennig", "given" : "J\u00fcrgen", "non-dropping-particle" : "", "parse-names" : false, "suffix" : "" }, { "dropping-particle" : "", "family" : "Weiller", "given" : "Cornelius", "non-dropping-particle" : "", "parse-names" : false, "suffix" : "" } ], "container-title" : "Proceedings of the National Academy of Sciences of the United States of America", "id" : "ITEM-1", "issue" : "46", "issued" : { "date-parts" : [ [ "2008" ] ] }, "note" : "1091-6490 (Electronic)\nJournal Article\nResearch Support, Non-U.S. Gov't", "page" : "18035-40", "title" : "Ventral and dorsal pathways for language.", "type" : "article-journal", "volume" : "105" }, "uris" : [ "http://www.mendeley.com/documents/?uuid=e350325b-19b2-4364-a6c9-edfb9fc1ce42" ] }, { "id" : "ITEM-2", "itemData" : { "DOI" : "10.1038/nn2072", "ISBN" : "1097-6256 (Print)\\r1097-6256 (Linking)", "ISSN" : "1097-6256", "PMID" : "18344993", "abstract" : "The arcuate fasciculus is a white-matter fiber tract that is involved in human language. Here we compared cortical connectivity in humans, chimpanzees and macaques (Macaca mulatta) and found a prominent temporal lobe projection of the human arcuate fasciculus that is much smaller or absent in nonhuman primates. This human specialization may be relevant to the evolution of language.", "author" : [ { "dropping-particle" : "", "family" : "Rilling", "given" : "James K", "non-dropping-particle" : "", "parse-names" : false, "suffix" : "" }, { "dropping-particle" : "", "family" : "Glasser", "given" : "Matthew F", "non-dropping-particle" : "", "parse-names" : false, "suffix" : "" }, { "dropping-particle" : "", "family" : "Preuss", "given" : "Todd M", "non-dropping-particle" : "", "parse-names" : false, "suffix" : "" }, { "dropping-particle" : "", "family" : "Ma", "given" : "Xiangyang", "non-dropping-particle" : "", "parse-names" : false, "suffix" : "" }, { "dropping-particle" : "", "family" : "Zhao", "given" : "Tiejun", "non-dropping-particle" : "", "parse-names" : false, "suffix" : "" }, { "dropping-particle" : "", "family" : "Hu", "given" : "Xiaoping", "non-dropping-particle" : "", "parse-names" : false, "suffix" : "" }, { "dropping-particle" : "", "family" : "Behrens", "given" : "Timothy E J", "non-dropping-particle" : "", "parse-names" : false, "suffix" : "" } ], "container-title" : "Nature Neuroscience", "id" : "ITEM-2", "issue" : "4", "issued" : { "date-parts" : [ [ "2008" ] ] }, "page" : "426-428", "publisher" : "New York, NY: Nature America Inc., c1998-", "title" : "The evolution of the arcuate fasciculus revealed with comparative DTI", "type" : "article-journal", "volume" : "11" }, "uris" : [ "http://www.mendeley.com/documents/?uuid=70306eb4-aac6-451a-a3e9-0619d4ac69fa" ] } ], "mendeley" : { "formattedCitation" : "(Rilling et al., 2008; Saur et al., 2008)", "plainTextFormattedCitation" : "(Rilling et al., 2008; Saur et al., 2008)", "previouslyFormattedCitation" : "(Rilling et al., 2008; Saur et al., 2008)"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103" w:name="__Fieldmark__1008_2073936654"/>
            <w:bookmarkStart w:id="104" w:name="__Fieldmark__1121_531023477"/>
            <w:bookmarkStart w:id="105" w:name="__Fieldmark__1403_582625014"/>
            <w:r w:rsidRPr="007C17A6">
              <w:rPr>
                <w:rFonts w:ascii="Times New Roman" w:hAnsi="Times New Roman" w:cs="Times New Roman"/>
                <w:noProof/>
                <w:sz w:val="24"/>
                <w:szCs w:val="24"/>
              </w:rPr>
              <w:t>(Rilling et al., 2008; Saur et al., 2008)</w:t>
            </w:r>
            <w:r w:rsidRPr="007C17A6">
              <w:rPr>
                <w:rFonts w:ascii="Times New Roman" w:hAnsi="Times New Roman" w:cs="Times New Roman"/>
                <w:sz w:val="24"/>
                <w:szCs w:val="24"/>
              </w:rPr>
              <w:fldChar w:fldCharType="end"/>
            </w:r>
            <w:bookmarkEnd w:id="103"/>
            <w:bookmarkEnd w:id="104"/>
            <w:bookmarkEnd w:id="105"/>
          </w:p>
        </w:tc>
      </w:tr>
      <w:tr w:rsidR="00BB04AA" w:rsidRPr="007C17A6" w14:paraId="5478F4C6"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3BF18F"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 xml:space="preserve">AB, </w:t>
            </w:r>
            <w:proofErr w:type="spellStart"/>
            <w:r w:rsidRPr="007C17A6">
              <w:rPr>
                <w:rFonts w:ascii="Times New Roman" w:hAnsi="Times New Roman" w:cs="Times New Roman"/>
                <w:sz w:val="24"/>
                <w:szCs w:val="24"/>
              </w:rPr>
              <w:t>PFi</w:t>
            </w:r>
            <w:proofErr w:type="spellEnd"/>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AEEAF7" w14:textId="1175C8A4"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"10.1073/pnas.97.22.11793", "ISBN" : "0027-8424 (Print)\\r0027-8424 (Linking)", "ISSN" : "0027-8424", "PMID" : "11050211", "abstract" : "The auditory system of monkeys includes a large number of interconnected subcortical nuclei and cortical areas. At subcortical levels, the structural components of the auditory system of monkeys resemble those of nonprimates, but the organization at cortical levels is different. In monkeys, the ventral nucleus of the medial geniculate complex projects in parallel to a core of three primary-like auditory areas, AI, R, and RT, constituting the first stage of cortical processing. These areas interconnect and project to the homotopic and other locations in the opposite cerebral hemisphere and to a surrounding array of eight proposed belt areas as a second stage of cortical processing. The belt areas in turn project in overlapping patterns to a lateral parabelt region with at least rostral and caudal subdivisions as a third stage of cortical processing. The divisions of the parabelt distribute to adjoining auditory and multimodal regions of the temporal lobe and to four functionally distinct regions of the frontal lobe. Histochemically, chimpanzees and humans have an auditory core that closely resembles that of monkeys. The challenge for future researchers is to understand how this complex system in monkeys analyzes and utilizes auditory information.", "author" : [ { "dropping-particle" : "", "family" : "Kaas", "given" : "J H", "non-dropping-particle" : "", "parse-names" : false, "suffix" : "" }, { "dropping-particle" : "", "family" : "Hackett", "given" : "T A", "non-dropping-particle" : "", "parse-names" : false, "suffix" : "" } ], "container-title" : "Proceedings of the National Academy of Sciences of the United States of America", "id" : "ITEM-1", "issue" : "22", "issued" : { "date-parts" : [ [ "2000" ] ] }, "page" : "11793-9", "publisher" : "National Acad Sciences", "title" : "Subdivisions of auditory cortex and processing streams in primates.", "type" : "article-journal", "volume" : "97" }, "uris" : [ "http://www.mendeley.com/documents/?uuid=09348f44-3f12-4008-bdea-113533327a78" ] }, { "id" : "ITEM-2", "itemData" : { "DOI" : "10.1038/nn.2331", "ISBN" : "1546-1726 (Electronic)\\r1097-6256 (Linking)", "ISSN" : "1097-6256", "PMID" : "19471271", "abstract" : "Speech and language are considered uniquely human abilities: animals have communication systems, but they do not match human linguistic skills in terms of recursive structure and combinatorial power. Yet, in evolution, spoken language must have emerged from neural mechanisms at least partially available in animals. In this paper, we will demonstrate how our understanding of speech perception, one important facet of language, has profited from findings and theory in nonhuman primate studies. Chief among these are physiological and anatomical studies showing that primate auditory cortex, across species, shows patterns of hierarchical structure, topographic mapping and streams of functional processing. We will identify roles for different cortical areas in the perceptual processing of speech and review functional imaging work in humans that bears on our understanding of how the brain decodes and monitors speech. A new model connects structures in the temporal, frontal and parietal lobes linking speech perception and production.", "author" : [ { "dropping-particle" : "", "family" : "Rauschecker", "given" : "Josef P", "non-dropping-particle" : "", "parse-names" : false, "suffix" : "" }, { "dropping-particle" : "", "family" : "Scott", "given" : "Sophie K", "non-dropping-particle" : "", "parse-names" : false, "suffix" : "" } ], "container-title" : "Nature Neuroscience", "id" : "ITEM-2", "issue" : "6", "issued" : { "date-parts" : [ [ "2009" ] ] }, "note" : "1546-1726 (Electronic)\nJournal Article\nResearch Support, N.I.H., Extramural\nResearch Support, Non-U.S. Gov't\nResearch Support, U.S. Gov't, Non-P.H.S.\nReview", "page" : "718-24", "title" : "Maps and streams in the auditory cortex: Nonhuman primates illuminate human speech processing", "type" : "article-journal", "volume" : "12" }, "uris" : [ "http://www.mendeley.com/documents/?uuid=c4f7aee3-8a85-4f18-9edc-d889e7ed4ec0" ] }, { "id" : "ITEM-3", "itemData" : { "DOI" : "10.1002/(SICI)1096-9861(19990111)403:2&lt;141::AID-CNE1&gt;3.0.CO;2-V", "ISBN" : "1096-9861", "ISSN" : "00219967", "PMID" : "9886040", "abstract" : "Recent anatomical and electrophysiological studies have expanded our knowledge of the auditory cortical system in primates and have described its organization as a series of concentric circles with a central or primary auditory core, surrounded by a lateral and medial belt of secondary auditory cortex with a tertiary parabelt cortex just lateral to this belt. Because recent studies have shown that rostral and caudal belt and parabelt cortices have distinct patterns of connections and acoustic responsivity, we hypothesized that these divergent auditory regions might have distinct targets in the frontal lobe. We, therefore, placed discrete injections of wheat germ agglutinin-horseradish peroxidase or fluorescent retrograde tracers into the prefrontal cortex of macaque monkeys and analyzed the anterograde and retrograde labeling in the aforementioned auditory areas. Injections that included rostral and orbital prefrontal areas (10, 46 rostral, 12) labeled the rostral belt and parabelt most heavily, whereas injections including the caudal principal sulcus (area 46), periarcuate cortex (area 8a), and ventrolateral prefrontal cortex (area12vl) labeled the caudal belt and parabelt. Projections originating in the parabelt cortex were denser than those arising from the lateral or medial belt cortices in most cases. In addition, the anterior third of the superior temporal gyrus and the dorsal bank of the superior temporal sulcus were also labeled after prefrontal injections, confirming previous studies. The present topographical results suggest that acoustic information diverges into separate streams that target distinct rostral and caudal domains of the prefrontal cortex, which may serve different acoustic functions.", "author" : [ { "dropping-particle" : "", "family" : "Romanski", "given" : "L. M.", "non-dropping-particle" : "", "parse-names" : false, "suffix" : "" }, { "dropping-particle" : "", "family" : "Bates", "given" : "J. F.", "non-dropping-particle" : "", "parse-names" : false, "suffix" : "" }, { "dropping-particle" : "", "family" : "Goldman-Rakic", "given" : "P. S.", "non-dropping-particle" : "", "parse-names" : false, "suffix" : "" } ], "container-title" : "Journal of Comparative Neurology", "id" : "ITEM-3", "issue" : "2", "issued" : { "date-parts" : [ [ "1999" ] ] }, "note" : "0021-9967 (Print)\nJournal Article\nResearch Support, Non-U.S. Gov't\nResearch Support, U.S. Gov't, P.H.S.", "page" : "141-157", "title" : "Auditory belt and parabelt projections to the prefrontal cortex in the rhesus monkey", "type" : "article-journal", "volume" : "403" }, "uris" : [ "http://www.mendeley.com/documents/?uuid=76c9d22a-077e-414c-b9c3-9c13c3423799" ] }, { "id" : "ITEM-4", "itemData" : { "DOI" : "10.1371/journal.pbio.1000170", "ISBN" : "1545-7885 (Electronic)", "ISSN" : "15449173", "PMID" : "19668354", "abstract" : "The homologues of the two distinct architectonic areas 44 and 45 that constitute the anterior language zone (Broca's region) in the human ventrolateral frontal lobe were recently established in the macaque monkey. Although we know that the inferior parietal lobule and the lateral temporal cortical region project to the ventrolateral frontal cortex, we do not know which of the several cortical areas found in those regions project to the homologues of Broca's region in the macaque monkey and by means of which white matter pathways. We have used the autoradiographic method, which permits the establishment of the cortical area from which axons originate (i.e., the site of injection), the precise course of the axons in the white matter, and their termination within particular cortical areas, to examine the parietal and temporal connections to area 44 and the two subdivisions of area 45 (i.e., areas 45A and 45B). The results demonstrated a ventral temporo-frontal stream of fibers that originate from various auditory, multisensory, and visual association cortical areas in the intermediate superolateral temporal region. These axons course via the extreme capsule and target most strongly area 45 with a more modest termination in area 44. By contrast, a dorsal stream of axons that originate from various cortical areas in the inferior parietal lobule and the adjacent caudal superior temporal sulcus was found to target both areas 44 and 45. These axons course in the superior longitudinal fasciculus, with some axons originating from the ventral inferior parietal lobule and the adjacent superior temporal sulcus arching and forming a simple arcuate fasciculus. The cortex of the most rostral part of the inferior parietal lobule is preferentially linked with the ventral premotor cortex (ventral area 6) that controls the orofacial musculature. The cortex of the intermediate part of the inferior parietal lobule is linked with both areas 44 and 45. These findings demonstrate the posterior parietal and temporal connections of the ventrolateral frontal areas, which, in the left hemisphere of the human brain, were adapted for various aspects of language production. These precursor circuits that are found in the nonlinguistic, nonhuman, primate brain also exist in the human brain. The possible reasons why these areas were adapted for language use in the human brain are discussed. The results throw new light on the prelinguistic precursor circuitry of Broca's region and help un\u2026", "author" : [ { "dropping-particle" : "", "family" : "Petrides", "given" : "Michael", "non-dropping-particle" : "", "parse-names" : false, "suffix" : "" }, { "dropping-particle" : "", "family" : "Pandya", "given" : "Deepak N.", "non-dropping-particle" : "", "parse-names" : false, "suffix" : "" } ], "container-title" : "PLoS Biology", "id" : "ITEM-4", "issue" : "8", "issued" : { "date-parts" : [ [ "2009" ] ] }, "note" : "1545-7885 (Electronic)\nJournal Article\nResearch Support, Non-U.S. Gov't", "page" : "e1000170", "title" : "Distinct parietal and temporal pathways to the homologues of Broca's area in the monkey", "type" : "article-journal", "volume" : "7" }, "uris" : [ "http://www.mendeley.com/documents/?uuid=c95eb544-2017-44c9-8277-59572f97ef5b" ] } ], "mendeley" : { "formattedCitation" : "(Kaas and Hackett, 2000; Petrides and Pandya, 2009; Rauschecker and Scott, 2009; Romanski et al., 1999a)", "plainTextFormattedCitation" : "(Kaas and Hackett, 2000; Petrides and Pandya, 2009; Rauschecker and Scott, 2009; Romanski et al., 1999a)", "previouslyFormattedCitation" : "(Kaas and Hackett, 2000; Petrides and Pandya, 2009; Rauschecker and Scott, 2009; Romanski et al., 1999a)"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106" w:name="__Fieldmark__1019_2073936654"/>
            <w:bookmarkStart w:id="107" w:name="__Fieldmark__1130_531023477"/>
            <w:bookmarkStart w:id="108" w:name="__Fieldmark__1410_582625014"/>
            <w:r w:rsidRPr="007C17A6">
              <w:rPr>
                <w:rFonts w:ascii="Times New Roman" w:hAnsi="Times New Roman" w:cs="Times New Roman"/>
                <w:noProof/>
                <w:sz w:val="24"/>
                <w:szCs w:val="24"/>
              </w:rPr>
              <w:t>(Kaas and Hackett, 2000; Petrides and Pandya, 2009; Rauschecker and Scott, 2009; Romanski et al., 1999a)</w:t>
            </w:r>
            <w:r w:rsidRPr="007C17A6">
              <w:rPr>
                <w:rFonts w:ascii="Times New Roman" w:hAnsi="Times New Roman" w:cs="Times New Roman"/>
                <w:sz w:val="24"/>
                <w:szCs w:val="24"/>
              </w:rPr>
              <w:fldChar w:fldCharType="end"/>
            </w:r>
            <w:bookmarkEnd w:id="106"/>
            <w:bookmarkEnd w:id="107"/>
            <w:bookmarkEnd w:id="108"/>
          </w:p>
        </w:tc>
      </w:tr>
      <w:tr w:rsidR="00BB04AA" w:rsidRPr="007C17A6" w14:paraId="2DE652D6"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3311D"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noProof/>
                <w:sz w:val="24"/>
                <w:szCs w:val="24"/>
              </w:rPr>
              <w:t>PFi</w:t>
            </w:r>
            <w:r w:rsidRPr="007C17A6">
              <w:rPr>
                <w:rFonts w:ascii="Times New Roman" w:hAnsi="Times New Roman" w:cs="Times New Roman"/>
                <w:sz w:val="24"/>
                <w:szCs w:val="24"/>
              </w:rPr>
              <w:t>, M1i</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8FEF90" w14:textId="12B2572D"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"10.1016/0006-8993(92)90109-M", "ISBN" : "0006-8993 (Print)\\r0006-8993 (Linking)", "ISSN" : "00068993", "PMID" : "1374284", "abstract" : "Injections of the retrograde/anterograde tracers Wheat Germ Agglutinin-Horseradish peroxidase (WGA-HRP) into the cortex along the banks of the inferior limb of the arcuate sulcus in the cortex of 4 macaque monkeys (Macaca fascicularis) were used to investigate its c corticocortical connections. All injections produced transported label within the sulcus principalis, the ventral lateral prefrontal cortex, the anterior cingulate sulcus and the dorsal insular cortex. The distribution of label within each of these areas differed slightly depending on the injection site. Injections along the caudal bank of the inferior arcuate sulcus label premotor, supplementary motor, and precentral motor areas but produce relatively sparse prefrontal labeling. Posteriorly label is transported to the inferior parietal cortex and the dorsal opercular bank of the Sylvian fissure. Injections along the rostral bank of the sulcus do not label motor areas but produce labeling in dorsal, lateral and orbital prefrontal areas, and in cortex along the ventral bank of the superior branch of the arcuate sulcus. Posteriorly label is transported to cortical areas in the superior temporal gyrus including the dorsal bank of the superior temporal sulcus. The more dorsal rostral bank injection produced both superior temporal and some sparse inferior parietal labeling and the more ventral rostral bank injection produced extensive superior temporal labeling but no parietal labeling. No labeling was ever seen in cortex ventral to the fundus of the superior temporal sulcus. Although other auditory recipient prefrontal areas have been reported, this is the first demonstration of a region chiefly devoted to auditory connections within the ventral frontal cortex. Its adjacency to areas associated with vocal muscle movement, and its connections to midline cortical areas associated with vocal functions in both primates and humans may provide important clues to the organization of Broca's language area. ?? 1992.", "author" : [ { "dropping-particle" : "", "family" : "Deacon", "given" : "Terrence W.", "non-dropping-particle" : "", "parse-names" : false, "suffix" : "" } ], "container-title" : "Brain Research", "id" : "ITEM-1", "issue" : "1", "issued" : { "date-parts" : [ [ "1992" ] ] }, "page" : "8-26", "title" : "Cortical connections of the inferior arcuate sulcus cortex in the macaque brain", "type" : "article-journal", "volume" : "573" }, "uris" : [ "http://www.mendeley.com/documents/?uuid=3ca911c8-ea2b-46cf-a83a-c316d62263b9" ] }, { "id" : "ITEM-2", "itemData" : { "author" : [ { "dropping-particle" : "", "family" : "Young", "given" : "M P", "non-dropping-particle" : "", "parse-names" : false, "suffix" : "" }, { "dropping-particle" : "", "family" : "Scannell", "given" : "J W", "non-dropping-particle" : "", "parse-names" : false, "suffix" : "" }, { "dropping-particle" : "", "family" : "Burns", "given" : "G", "non-dropping-particle" : "", "parse-names" : false, "suffix" : "" } ], "id" : "ITEM-2", "issued" : { "date-parts" : [ [ "1995" ] ] }, "note" : "Reprint Status:  In File", "publisher" : "Springer", "publisher-place" : "Heidelberg", "title" : "The analysis of cortical connectivity", "type" : "book" }, "uris" : [ "http://www.mendeley.com/documents/?uuid=cb0c66b4-daf1-497f-aedb-e3beec43fe3d" ] }, { "id" : "ITEM-3", "itemData" : { "DOI" : "10.1016/S1053-8119(03)00165-4", "ISBN" : "1053-8119", "ISSN" : "10538119", "PMID" : "12948693", "abstract" : "In this study, we combined advanced MR techniques to explore primary motor cortex (M1) connectivity in the human brain. We matched functional and anatomical information using motor functional MRI (fMRI) and white matter tractography inferred from diffusion tensor imaging (DTI). We performed coregistered DTI and motor task fMRI in 8 right-handed healthy subjects and in 1 right-handed patient presenting with a left precentral tumour. We used the fast-marching tractography (FMT) algorithm to define 3D connectivity maps within the whole brain, from seed points selected in the white matter adjacent to the location of the maximum of fMRI activation. Connectivity maps were then anatomically normalised and analysed using statistical parametric mapping software (SPM99) allowing group comparisons (left versus right hemisphere in control subjects and patient versus control subjects). The results demonstrated, in all control subjects, strong connections from M1 to the pyramidal tracts, premotor areas, parietal cortices, thalamus, and cerebellum. M1 connectivity was asymmetric, being more extensive in the dominant hemisphere. The patient had differences in M1 connectivity from the control group. Thus, fMRI-correlated DTI-FMT is a promising tool to study the structural basis of functional networks in the human brain in vivo. ?? 2003 Elsevier Science (USA). All rights reserved.", "author" : [ { "dropping-particle" : "", "family" : "Guye", "given" : "Maxime", "non-dropping-particle" : "", "parse-names" : false, "suffix" : "" }, { "dropping-particle" : "", "family" : "Parker", "given" : "Geoffrey J M", "non-dropping-particle" : "", "parse-names" : false, "suffix" : "" }, { "dropping-particle" : "", "family" : "Symms", "given" : "Mark", "non-dropping-particle" : "", "parse-names" : false, "suffix" : "" }, { "dropping-particle" : "", "family" : "Boulby", "given" : "Philip", "non-dropping-particle" : "", "parse-names" : false, "suffix" : "" }, { "dropping-particle" : "", "family" : "Wheeler-Kingshott", "given" : "Claudia A M", "non-dropping-particle" : "", "parse-names" : false, "suffix" : "" }, { "dropping-particle" : "", "family" : "Salek-Haddadi", "given" : "Afraim", "non-dropping-particle" : "", "parse-names" : false, "suffix" : "" }, { "dropping-particle" : "", "family" : "Barker", "given" : "Gareth J.", "non-dropping-particle" : "", "parse-names" : false, "suffix" : "" }, { "dropping-particle" : "", "family" : "Duncan", "given" : "John S.", "non-dropping-particle" : "", "parse-names" : false, "suffix" : "" } ], "container-title" : "NeuroImage", "id" : "ITEM-3", "issue" : "4", "issued" : { "date-parts" : [ [ "2003" ] ] }, "note" : "1053-8119 (Print)\n1053-8119 (Linking)\nJournal Article\nResearch Support, Non-U.S. Gov't", "page" : "1349-1360", "title" : "Combined functional MRI and tractography to demonstrate the connectivity of the human primary motor cortex in vivo", "type" : "article-journal", "volume" : "19" }, "uris" : [ "http://www.mendeley.com/documents/?uuid=f1e4807b-ab19-400a-8d66-16d39350320a" ] } ], "mendeley" : { "formattedCitation" : "(Deacon, 1992; Guye et al., 2003; Young et al., 1995)", "plainTextFormattedCitation" : "(Deacon, 1992; Guye et al., 2003; Young et al., 1995)", "previouslyFormattedCitation" : "(Deacon, 1992; Guye et al., 2003; Young et al., 1995)" }, "properties" : {  }, "schema" : "https://github.com/citation-style-language/schema/raw/master/csl-citation.json" }</w:instrText>
            </w:r>
            <w:r w:rsidRPr="007C17A6">
              <w:rPr>
                <w:rFonts w:ascii="Times New Roman" w:hAnsi="Times New Roman" w:cs="Times New Roman"/>
                <w:sz w:val="24"/>
                <w:szCs w:val="24"/>
              </w:rPr>
              <w:fldChar w:fldCharType="separate"/>
            </w:r>
            <w:r w:rsidRPr="007C17A6">
              <w:rPr>
                <w:rFonts w:ascii="Times New Roman" w:hAnsi="Times New Roman" w:cs="Times New Roman"/>
                <w:noProof/>
                <w:sz w:val="24"/>
                <w:szCs w:val="24"/>
              </w:rPr>
              <w:t>(Deacon, 1992; Guye et al., 2003; Young et al., 1995)</w:t>
            </w:r>
            <w:r w:rsidRPr="007C17A6">
              <w:rPr>
                <w:rFonts w:ascii="Times New Roman" w:hAnsi="Times New Roman" w:cs="Times New Roman"/>
                <w:sz w:val="24"/>
                <w:szCs w:val="24"/>
              </w:rPr>
              <w:fldChar w:fldCharType="end"/>
            </w:r>
          </w:p>
        </w:tc>
      </w:tr>
      <w:tr w:rsidR="00BB04AA" w:rsidRPr="007C17A6" w14:paraId="65BCFD8F" w14:textId="77777777" w:rsidTr="00BB04AA">
        <w:trPr>
          <w:trHeight w:val="422"/>
        </w:trPr>
        <w:tc>
          <w:tcPr>
            <w:tcW w:w="93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04A864" w14:textId="40520AFE" w:rsidR="00BB04AA" w:rsidRPr="007C17A6" w:rsidRDefault="00BB04AA">
            <w:pPr>
              <w:spacing w:after="0" w:line="240" w:lineRule="auto"/>
              <w:jc w:val="center"/>
              <w:rPr>
                <w:rFonts w:ascii="Times New Roman" w:hAnsi="Times New Roman" w:cs="Times New Roman"/>
                <w:sz w:val="24"/>
                <w:szCs w:val="24"/>
              </w:rPr>
            </w:pPr>
            <w:r w:rsidRPr="007C17A6">
              <w:rPr>
                <w:rFonts w:ascii="Times New Roman" w:hAnsi="Times New Roman" w:cs="Times New Roman"/>
                <w:i/>
                <w:sz w:val="24"/>
                <w:szCs w:val="24"/>
              </w:rPr>
              <w:t xml:space="preserve">Extrasylvian system (see also </w:t>
            </w: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"10.1016/j.cortex.2011.10.001", "ISBN" : "0010-9452", "ISSN" : "00109452", "PMID" : "22088488", "abstract" : "The greater expansion of the frontal lobes along the phylogeny scale has been interpreted as the signature of evolutionary changes underlying higher cognitive abilities in humans functions in humans. However, it is unknown how an increase in number of gyri, sulci and cortical areas in the frontal lobe have coincided with a parallel increase in connectivity. Here, using advanced tractography based on spherical deconvolution, we produced an atlas of human frontal association connections that we compared with axonal tracing studies of the monkey brain. We report several similarities between human and monkey in the cingulum, uncinate, superior longitudinal fasciculus, frontal aslant tract and orbito-polar tract. These similarities suggest to preserved functions across anthropoids. In addition, we found major differences in the arcuate fasciculus and the inferior fronto-occipital fasciculus. These differences indicate possible evolutionary changes in the connectional anatomy of the frontal lobes underlying unique human abilities. ?? 2011 Elsevier Srl.", "author" : [ { "dropping-particle" : "", "family" : "Thiebaut de Schotten", "given" : "Michel", "non-dropping-particle" : "", "parse-names" : false, "suffix" : "" }, { "dropping-particle" : "", "family" : "Dell'Acqua", "given" : "Flavio", "non-dropping-particle" : "", "parse-names" : false, "suffix" : "" }, { "dropping-particle" : "", "family" : "Valabregue", "given" : "Romain", "non-dropping-particle" : "", "parse-names" : false, "suffix" : "" }, { "dropping-particle" : "", "family" : "Catani", "given" : "Marco", "non-dropping-particle" : "", "parse-names" : false, "suffix" : "" } ], "container-title" : "Cortex", "id" : "ITEM-1", "issue" : "1", "issued" : { "date-parts" : [ [ "2012" ] ] }, "page" : "82-96", "publisher" : "Elsevier Srl", "title" : "Monkey to human comparative anatomy of the frontal lobe association tracts", "type" : "article-journal", "volume" : "48" }, "uris" : [ "http://www.mendeley.com/documents/?uuid=cbdaecf9-0c90-4ef0-9c8a-0f00023b9781" ] } ], "mendeley" : { "formattedCitation" : "(Thiebaut de Schotten et al., 2012)", "manualFormatting" : "Thiebaut de Schotten et al., 2012)", "plainTextFormattedCitation" : "(Thiebaut de Schotten et al., 2012)", "previouslyFormattedCitation" : "(Thiebaut de Schotten et al., 2012)"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109" w:name="__Fieldmark__1124_2073936654"/>
            <w:bookmarkStart w:id="110" w:name="__Fieldmark__1257_531023477"/>
            <w:bookmarkStart w:id="111" w:name="__Fieldmark__1505_582625014"/>
            <w:r w:rsidRPr="007C17A6">
              <w:rPr>
                <w:rFonts w:ascii="Times New Roman" w:hAnsi="Times New Roman" w:cs="Times New Roman"/>
                <w:noProof/>
                <w:sz w:val="24"/>
                <w:szCs w:val="24"/>
              </w:rPr>
              <w:t>Thiebaut de Schotten et al., 2012)</w:t>
            </w:r>
            <w:r w:rsidRPr="007C17A6">
              <w:rPr>
                <w:rFonts w:ascii="Times New Roman" w:hAnsi="Times New Roman" w:cs="Times New Roman"/>
                <w:sz w:val="24"/>
                <w:szCs w:val="24"/>
              </w:rPr>
              <w:fldChar w:fldCharType="end"/>
            </w:r>
            <w:bookmarkEnd w:id="109"/>
            <w:bookmarkEnd w:id="110"/>
            <w:bookmarkEnd w:id="111"/>
          </w:p>
        </w:tc>
      </w:tr>
      <w:tr w:rsidR="00BB04AA" w:rsidRPr="007C17A6" w14:paraId="4454432E"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585342"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 xml:space="preserve">V1, AT </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7ECB91" w14:textId="2A408A39"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"10.1093/brain/awg203", "ISBN" : "0006-8950", "ISSN" : "00068950", "PMID" : "12821517", "abstract" : "Diffusion tensor MRI (DT-MRI) provides information about the structural organization and orientation of white matter fibres and, through the technique of 'tractography', reveals the trajectories of cerebral white matter tracts. We used tractography in the living human brain to address the disputed issue of the nature of occipital and temporal connections. Classical anatomical studies described direct fibre connections between occipital and anterior temporal cortex in a bundle labelled the inferior longitudinal fasciculus (ILF). However, their presence has been challenged by more recent evidence suggesting that connections between the two regions are entirely indirect, conveyed by the occipito-temporal projection system--a chain of U-shaped association fibres. DT-MRI data were collected from 11 right-handed healthy subjects (mean age 33.3 +/- 4.7 years). Each data set was co-registered with a standard MRI brain template, and a group-averaged DT-MRI data set was created. 'Virtual' in vivo dissection of occipito-temporal connections was performed in the group-averaged data. Further detailed virtual dissection was performed on the single brain data sets. Our results suggest that in addition to the indirect connections of the occipito-temporal projection system: (i) a major associative connection between the occipital and anterior temporal lobe is provided by a fibre bundle whose origin, course and termination are consistent with classical descriptions of the ILF in man and with monkey visual anatomy; (ii) the tractography-defined ILF is structurally distinct from fibres of the optic radiation and from U-shaped fibres connecting adjacent gyri; (iii) it arises in extrastriate visual 'association' areas; and (iv) it projects to lateral and medial anterior temporal regions. While the function of the direct ILF pathway is unclear, it appears to mediate the fast transfer of visual signals to anterior temporal regions and neuromodulatory back-projections from the amygdala to early visual areas. Future tractography studies of patients with occipito-temporal disconnection syndromes may help define the functional roles of the direct and indirect occipito-temporal pathways.", "author" : [ { "dropping-particle" : "", "family" : "Catani", "given" : "Marco", "non-dropping-particle" : "", "parse-names" : false, "suffix" : "" }, { "dropping-particle" : "", "family" : "Jones", "given" : "Derek K.", "non-dropping-particle" : "", "parse-names" : false, "suffix" : "" }, { "dropping-particle" : "", "family" : "Donato", "given" : "Rosario", "non-dropping-particle" : "", "parse-names" : false, "suffix" : "" }, { "dropping-particle" : "", "family" : "Ffytche", "given" : "Dominic H.", "non-dropping-particle" : "", "parse-names" : false, "suffix" : "" } ], "container-title" : "Brain", "id" : "ITEM-1", "issue" : "9", "issued" : { "date-parts" : [ [ "2003" ] ] }, "note" : "0006-8950 (Print)\n0006-8950 (Linking)\nJournal Article\nResearch Support, Non-U.S. Gov't", "page" : "2093-2107", "title" : "Occipito-temporal connections in the human brain", "type" : "article-journal", "volume" : "126" }, "uris" : [ "http://www.mendeley.com/documents/?uuid=14e8bad3-1a4a-46cb-a9b2-967d8c3c3a31" ] }, { "id" : "ITEM-2", "itemData" : { "DOI" : "10.1148/radiol.2301021640", "ISBN" : "0033-8419 (Print)\\r0033-8419 (Linking)", "ISSN" : "0033-8419", "PMID" : "14645885", "abstract" : "Two- and three-dimensional (3D) white matter atlases were created on the basis of high-spatial-resolution diffusion tensor magnetic resonance (MR) imaging and 3D tract reconstruction. The 3D trajectories of 17 prominent white matter tracts could be reconstructed and depicted. Tracts were superimposed on coregistered anatomic MR images to parcel the white matter. These parcellation maps were then compared with coregistered diffusion tensor imaging color maps to assign visible structures. The results showed (a). which anatomic structures can be identified on diffusion tensor images and (b). where these anatomic units are located at each section level and orientation. The atlas may prove useful for educational and clinical purposes.", "author" : [ { "dropping-particle" : "", "family" : "Wakana", "given" : "Setsu", "non-dropping-particle" : "", "parse-names" : false, "suffix" : "" }, { "dropping-particle" : "", "family" : "Jiang", "given" : "Hangyi", "non-dropping-particle" : "", "parse-names" : false, "suffix" : "" }, { "dropping-particle" : "", "family" : "Nagae-Poetscher", "given" : "Lidia M", "non-dropping-particle" : "", "parse-names" : false, "suffix" : "" }, { "dropping-particle" : "", "family" : "Zijl", "given" : "Peter C M", "non-dropping-particle" : "van", "parse-names" : false, "suffix" : "" }, { "dropping-particle" : "", "family" : "Mori", "given" : "Susumu", "non-dropping-particle" : "", "parse-names" : false, "suffix" : "" } ], "container-title" : "Radiology", "id" : "ITEM-2", "issue" : "1", "issued" : { "date-parts" : [ [ "2004" ] ] }, "note" : "0033-8419 (Print)\n0033-8419 (Linking)\nJournal Article\nResearch Support, U.S. Gov't, P.H.S.", "page" : "77-87", "title" : "Fiber tract-based atlas of human white matter anatomy.", "type" : "article-journal", "volume" : "230" }, "uris" : [ "http://www.mendeley.com/documents/?uuid=4e8f39d6-84e7-455a-a819-c62a46e371e7" ] } ], "mendeley" : { "formattedCitation" : "(Catani et al., 2003; Wakana et al., 2004)", "plainTextFormattedCitation" : "(Catani et al., 2003; Wakana et al., 2004)", "previouslyFormattedCitation" : "(Catani et al., 2003; Wakana et al., 2004)"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112" w:name="__Fieldmark__1045_2073936654"/>
            <w:bookmarkStart w:id="113" w:name="__Fieldmark__1176_531023477"/>
            <w:bookmarkStart w:id="114" w:name="__Fieldmark__1432_582625014"/>
            <w:r w:rsidRPr="007C17A6">
              <w:rPr>
                <w:rFonts w:ascii="Times New Roman" w:hAnsi="Times New Roman" w:cs="Times New Roman"/>
                <w:noProof/>
                <w:sz w:val="24"/>
                <w:szCs w:val="24"/>
              </w:rPr>
              <w:t>(Catani et al., 2003; Wakana et al., 2004)</w:t>
            </w:r>
            <w:r w:rsidRPr="007C17A6">
              <w:rPr>
                <w:rFonts w:ascii="Times New Roman" w:hAnsi="Times New Roman" w:cs="Times New Roman"/>
                <w:sz w:val="24"/>
                <w:szCs w:val="24"/>
              </w:rPr>
              <w:fldChar w:fldCharType="end"/>
            </w:r>
            <w:bookmarkEnd w:id="112"/>
            <w:bookmarkEnd w:id="113"/>
            <w:bookmarkEnd w:id="114"/>
          </w:p>
        </w:tc>
      </w:tr>
      <w:tr w:rsidR="00BB04AA" w:rsidRPr="007C17A6" w14:paraId="43E1B10D"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A21CD1"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AT, PML</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38675A" w14:textId="1499479A"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"10.1016/S0091-6773(78)92019-9", "ISBN" : "0091-6773 (Print)", "ISSN" : "00916773", "PMID" : "414730", "abstract" : "The possibility was examined that the delay-dependent increase in delayed matching-to-sample (DMS) and delayed-response (DR) errors induced by prefrontal cooling (FC) could be modified by changes in ambient illumination. Monkeys were tested in normal room lighting and in the dark with intratrial delays of 1-32 sec during FC and normal brain temperature (no cooling, NC). The results showed that FC increased errors and motor activity on trials with long intratrial intervals but had little effect with short delays. Ambient illumination had little effect during either FC or NC. The results are discussed in terms of relative differences in novelty of lighting or darkness with respect to the level of illumination during training. ?? 1978 Academic Press, Inc.", "author" : [ { "dropping-particle" : "", "family" : "Bauer", "given" : "Richard H.", "non-dropping-particle" : "", "parse-names" : false, "suffix" : "" }, { "dropping-particle" : "", "family" : "Fuster", "given" : "Joaquin M.", "non-dropping-particle" : "", "parse-names" : false, "suffix" : "" } ], "container-title" : "Behavioral Biology", "id" : "ITEM-1", "issue" : "1", "issued" : { "date-parts" : [ [ "1978" ] ] }, "note" : "0021-9940 (Print)\n0021-9940 (Linking)\nJournal Article\nResearch Support, U.S. Gov't, Non-P.H.S.", "page" : "60-66", "title" : "The effect of ambient illumination on delayed-matching and delayed-response deficits from cooling dorsolateral prefrontal cortex", "type" : "article-journal", "volume" : "22" }, "uris" : [ "http://www.mendeley.com/documents/?uuid=822245a3-8943-4ce1-97e2-8c1701504ac4" ] }, { "id" : "ITEM-2", "itemData" : { "author" : [ { "dropping-particle" : "", "family" : "Fuster", "given" : "J M", "non-dropping-particle" : "", "parse-names" : false, "suffix" : "" }, { "dropping-particle" : "", "family" : "Bauer", "given" : "R H", "non-dropping-particle" : "", "parse-names" : false, "suffix" : "" }, { "dropping-particle" : "", "family" : "Jervey", "given" : "J P", "non-dropping-particle" : "", "parse-names" : false, "suffix" : "" } ], "container-title" : "Brain Research", "id" : "ITEM-2", "issued" : { "date-parts" : [ [ "1985" ] ] }, "note" : "important: prefrontal cooling (20 C) and infero temporal cooling both diminished color-dependent differences in the remote region (in no case augmented) ! (against milner's view!) &amp;quot;In other words, under cooling the cells had a tendency to treat different colors alike&amp;quot;. at the same time, errors on task performance increased. differnces in both responses and delay discharges. remote cooling -&amp;gt; diminuishion or augmentation of color responses. \\ mutal influences (inf temp - front) visual discrimination and short term memory\nReprint Status: In File", "page" : "299-307", "title" : "Functional interactions between inferotemporal and prefrontal cortex in a cognitive task", "type" : "article-journal", "volume" : "330" }, "uris" : [ "http://www.mendeley.com/documents/?uuid=8550a489-6a0c-425b-b087-18b32f90cdbf" ] }, { "id" : "ITEM-3", "itemData" : { "ISBN" : "0022-3077 (Print)\\n0022-3077 (Linking)", "ISSN" : "0022-3077", "PMID" : "10712479", "abstract" : "Dorsolateral prefrontal and posterior parietal cortex share reciprocal projections. They also share nearly identical patterns of neuronal activation during performance of memory-guided saccades. To test the hypothesis that the reciprocal projections between parietal and prefrontal neurons may entrain their parallel activation, the present experiments have combined cortical cooling in one cortical area with single-unit recording in the other to more precisely determine the physiological interactions between the two during working memory performance. The activity of 105 cortical neurons during the performance of an oculomotor delayed response (ODR) task (43 parietal neurons during prefrontal cooling, 62 prefrontal neurons during parietal cooling) was compared across two blocks of trials collected while the distant cortical area either was maintained at normal body temperature or cooled. The mean firing rates of 71% of the prefrontal neurons during ODR performance changed significantly when parietal cortex was cooled. Prefrontal neurons the activity of which was modulated during the cue, delay, or saccade periods of the task were equally vulnerable to parietal inactivation. Further, both lower and higher firing rates relative to the precool period were seen with comparable frequency. Similar results were obtained from the converse experiment, in which the mean firing rates of 76% of the parietal neurons were significantly different while prefrontal cortex was cooled, specifically in those task epochs when the activity of each neuron was modulated during ODR performance. These effects again were seen equally in all epochs of the ODR task in the form of augmented or suppressed activity. Significant effects on the latency of neuronal activation during cue and saccade periods of the task were absent irrespective of the area cooled. Cooling was associated in some cases with a shift in the best direction of Gaussian tuning functions fit to neuronal activity, and these shifts were on average larger during parietal than prefrontal cooling. In view of the parallel between the similarity in activity patterns previously reported and the largely symmetrical cooling effects presently obtained, the data suggest that prefrontal and parietal neurons achieve matched activation during ODR performance through a symmetrical exchange of neuronal signals between them; in both cortical areas, neurons activated during the cue, delay, and also saccade epochs of the ODR task partic\u2026", "author" : [ { "dropping-particle" : "V", "family" : "Chafee", "given" : "M", "non-dropping-particle" : "", "parse-names" : false, "suffix" : "" }, { "dropping-particle" : "", "family" : "Goldman-Rakic", "given" : "P S", "non-dropping-particle" : "", "parse-names" : false, "suffix" : "" } ], "container-title" : "Journal of Neurophysiology", "id" : "ITEM-3", "issue" : "3", "issued" : { "date-parts" : [ [ "2000" ] ] }, "note" : "0022-3077 (Print)\n0022-3077 (Linking)\nJournal Article\nResearch Support, U.S. Gov't, P.H.S.", "page" : "1550-1566", "title" : "Inactivation of parietal and prefrontal cortex reveals interdependence of neural activity during memory-guided saccades", "type" : "article-journal", "volume" : "83" }, "uris" : [ "http://www.mendeley.com/documents/?uuid=21d1e3e6-808e-46e6-bdfc-04a625487fd5" ] }, { "id" : "ITEM-4", "itemData" : { "ISBN" : "0-936925-00-0 (Hardcover)", "abstract" : "understanding of the precise organization of frontal lobe interrelations with other cortical and subcortical regions data on the afferent and efferent connections of the frontal lobe novel approach that . . . seeks to explain cortical function in light of the evolution of the cerebral cortex / cortical cytoarchitecture anatomy of the monkey brain (\"Macaca mulatta\")", "author" : [ { "dropping-particle" : "", "family" : "Pandya", "given" : "Deepak N", "non-dropping-particle" : "", "parse-names" : false, "suffix" : "" }, { "dropping-particle" : "", "family" : "Barnes", "given" : "Clifford L", "non-dropping-particle" : "", "parse-names" : false, "suffix" : "" } ], "container-title" : "The frontal lobes revisited", "editor" : [ { "dropping-particle" : "", "family" : "Perecman", "given" : "E", "non-dropping-particle" : "", "parse-names" : false, "suffix" : "" } ], "id" : "ITEM-4", "issued" : { "date-parts" : [ [ "1987" ] ] }, "page" : "41-72", "publisher" : "The IRBN Press", "publisher-place" : "New York", "title" : "Architecture and connections of the frontal lobe", "type" : "chapter" }, "uris" : [ "http://www.mendeley.com/documents/?uuid=bc777bd6-2a63-4a0b-a8e5-a29aa1804d11" ] }, { "id" : "ITEM-5", "itemData" : { "DOI" : "10.1002/cne.902900402", "ISBN" : "0021-9967 (Print)\\r0021-9967 (Linking)", "ISSN" : "00219967", "PMID" : "2482305", "abstract" : "The intrinsic connections of the superior temporal sulcus (STS) in the rhesus monkey were studied by anterograde and retrograde tracer techniques and correlated with a reevaluation of cortical cytoarchitecture. The polymodal region in the upper bank (area TPO) is divisible into four rostral-to-caudal architectonic sectors, exhibiting increasing degrees of laminar differentiation and cellularity as one proceeds caudally. These sectors, including the sulcal proisocortex (area Pro), are tied together in a sequence of reciprocal connections. Each rostrocaudal sector of area TPO also has reciprocal connections with the laterally adjacent area TAa, at the upper rim of the sulcus, and medially adjacent areas PGa and IPa, near the depth. A similar arachitectonic/connectional organization exists for unimodal vision-related cortex in the lower bank of the STS. Here a rostrocaudal sequence of reciprocal connections unites area Pro, rostral and caudal divisions of area TEa, and the extrastriate visual area OAa (MT). Area TEa also has reciprocal connections with adjacent segments of area TEm laterally, at the lower rim of the sulcus, and area IPa, medially, in the depth. In both upper and lower banks, caudal-to-rostral \"forwardgoing\" connections begin in supragranular layers of cortex and terminate in and around layer IV. Reciprocal, \"backgoing\" connections take origin from cells in infragranular layers and terminate mainly over the first layer of the caudally adjacent target zone. Orthogonally directed, \"side-to-side\" projections originate in both supra- and infragranular layers and terminate diffusely over all layers of cortex.", "author" : [ { "dropping-particle" : "", "family" : "Seltzer", "given" : "B.", "non-dropping-particle" : "", "parse-names" : false, "suffix" : "" }, { "dropping-particle" : "", "family" : "Pandya", "given" : "D. N.", "non-dropping-particle" : "", "parse-names" : false, "suffix" : "" } ], "container-title" : "Journal of Comparative Neurology", "id" : "ITEM-5", "issue" : "4", "issued" : { "date-parts" : [ [ "1989" ] ] }, "note" : "0021-9967 (Print)\n0021-9967 (Linking)\nJournal Article\nResearch Support, Non-U.S. Gov't\nResearch Support, U.S. Gov't, Non-P.H.S.\nResearch Support, U.S. Gov't, P.H.S.", "page" : "451-471", "title" : "Intrinsic connections and architectonics of the superior temporal sulcus in the rhesus monkey", "type" : "article-journal", "volume" : "290" }, "uris" : [ "http://www.mendeley.com/documents/?uuid=f9d78a2d-8a41-44d4-9ff2-88e812525ad5" ] } ], "mendeley" : { "formattedCitation" : "(Bauer and Fuster, 1978; Chafee and Goldman-Rakic, 2000; Fuster et al., 1985; Pandya and Barnes, 1987; Seltzer and Pandya, 1989)", "plainTextFormattedCitation" : "(Bauer and Fuster, 1978; Chafee and Goldman-Rakic, 2000; Fuster et al., 1985; Pandya and Barnes, 1987; Seltzer and Pandya, 1989)", "previouslyFormattedCitation" : "(Bauer and Fuster, 1978; Chafee and Goldman-Rakic, 2000; Fuster et al., 1985; Pandya and Barnes, 1987; Seltzer and Pandya, 1989)"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115" w:name="__Fieldmark__1068_2073936654"/>
            <w:bookmarkStart w:id="116" w:name="__Fieldmark__1195_531023477"/>
            <w:bookmarkStart w:id="117" w:name="__Fieldmark__1452_582625014"/>
            <w:r w:rsidRPr="007C17A6">
              <w:rPr>
                <w:rFonts w:ascii="Times New Roman" w:hAnsi="Times New Roman" w:cs="Times New Roman"/>
                <w:noProof/>
                <w:sz w:val="24"/>
                <w:szCs w:val="24"/>
              </w:rPr>
              <w:t>(Bauer and Fuster, 1978; Chafee and Goldman-Rakic, 2000; Fuster et al., 1985; Pandya and Barnes, 1987; Seltzer and Pandya, 1989)</w:t>
            </w:r>
            <w:r w:rsidRPr="007C17A6">
              <w:rPr>
                <w:rFonts w:ascii="Times New Roman" w:hAnsi="Times New Roman" w:cs="Times New Roman"/>
                <w:sz w:val="24"/>
                <w:szCs w:val="24"/>
              </w:rPr>
              <w:fldChar w:fldCharType="end"/>
            </w:r>
            <w:bookmarkEnd w:id="115"/>
            <w:bookmarkEnd w:id="116"/>
            <w:bookmarkEnd w:id="117"/>
          </w:p>
        </w:tc>
      </w:tr>
      <w:tr w:rsidR="00BB04AA" w:rsidRPr="007C17A6" w14:paraId="231F1EAB"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5212E5"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TO, PF</w:t>
            </w:r>
            <w:r w:rsidRPr="007C17A6">
              <w:rPr>
                <w:rFonts w:ascii="Times New Roman" w:hAnsi="Times New Roman" w:cs="Times New Roman"/>
                <w:sz w:val="24"/>
                <w:szCs w:val="24"/>
                <w:vertAlign w:val="subscript"/>
              </w:rPr>
              <w:t>L</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BA67F" w14:textId="75EA0F15"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"10.1007/s00429-008-0199-8", "ISBN" : "0042900801998", "ISSN" : "18632653", "PMID" : "19104833", "abstract" : "Experimental and imaging studies in monkeys have outlined various long association fiber pathways within the fronto-temporo-parietal region. In the present study, the trajectory of the extreme capsule (EmC) fibers has been delineated in five human subjects using DT-MRI tractography. The EmC seems to be a long association fiber pathway, which courses between the inferior frontal region and the superior temporal gyrus extending into the inferior parietal lobule. Comparison of EmC fibers with the adjacent association fiber pathway, the middle longitudinal fascicle (MdLF), in the same subjects reveals that EmC is located in a medial and rostral position relative to MdLF flanking in part the medial wall of the insula. The EmC can also be differentiated from other neighboring fiber pathways such as the external capsule, uncinate fascicle, arcuate fascicle, superior longitudinal fascicles II and III, and the inferior longitudinal fascicle. Given the location of EmC within the language zone, specifically Broca's area in the frontal lobe, and Wernicke's area in the temporal lobe and inferior parietal lobule, it is suggested that the extreme capsule could have a role in language function.", "author" : [ { "dropping-particle" : "", "family" : "Makris", "given" : "Nikos", "non-dropping-particle" : "", "parse-names" : false, "suffix" : "" }, { "dropping-particle" : "", "family" : "Pandya", "given" : "Deepak N.", "non-dropping-particle" : "", "parse-names" : false, "suffix" : "" } ], "container-title" : "Brain Structure and Function", "id" : "ITEM-1", "issue" : "3", "issued" : { "date-parts" : [ [ "2009" ] ] }, "page" : "343-358", "publisher" : "Springer", "title" : "The extreme capsule in humans and rethinking of the language circuitry", "type" : "article-journal", "volume" : "213" }, "uris" : [ "http://www.mendeley.com/documents/?uuid=89c1ea1d-1924-46c5-981e-4645e64677b8" ] }, { "id" : "ITEM-2", "itemData" : { "author" : [ { "dropping-particle" : "", "family" : "Bauer", "given" : "R H", "non-dropping-particle" : "", "parse-names" : false, "suffix" : "" }, { "dropping-particle" : "", "family" : "Jones", "given" : "C N", "non-dropping-particle" : "", "parse-names" : false, "suffix" : "" } ], "container-title" : "Physiol. Behav.", "id" : "ITEM-2", "issued" : { "date-parts" : [ [ "1976" ] ] }, "note" : "Reprint Status: In File", "page" : "885-890", "title" : "Feedback training of 36-45 Hz EEG activity in the visual cortex and hippocampus of cats: evidence for sensory and motor involvement", "type" : "article-journal", "volume" : "17" }, "uris" : [ "http://www.mendeley.com/documents/?uuid=0579aa87-7690-439a-8793-b62b39897262" ] }, { "id" : "ITEM-3", "itemData" : { "DOI" : "10.1126/science.7233192", "ISBN" : "0036-8075 (Print)\\n0036-8075 (Linking)", "ISSN" : "0036-8075", "PMID" : "7233192", "abstract" : "Single-cell activity was recorded in the inferotemporal cortex of monkeys performing a task that requires perception and temporary retention of colored stimuli. Many cells reacted differentially to the stimuli. By changing the relevance of certain features of compound stimuli, it was found that the reactions of some cells to color depend critically on whether or not the task demands that the animal pay attention to color. A substantial number of cells showed color-dependent differences in frequency of discharge during the retention periods of the task. The temporal characteristics of differential discharge and its dissolution when memory is no longer required indicate that the cells that display it are involved in retaining visual information.", "author" : [ { "dropping-particle" : "", "family" : "Fuster", "given" : "J M", "non-dropping-particle" : "", "parse-names" : false, "suffix" : "" }, { "dropping-particle" : "", "family" : "Jervey", "given" : "J P", "non-dropping-particle" : "", "parse-names" : false, "suffix" : "" } ], "container-title" : "Science (New York, N.Y.)", "id" : "ITEM-3", "issue" : "4497", "issued" : { "date-parts" : [ [ "1981" ] ] }, "note" : "0036-8075 (Print)\n0036-8075 (Linking)\nJournal Article\nResearch Support, U.S. Gov't, Non-P.H.S.\nResearch Support, U.S. Gov't, P.H.S.", "page" : "952-955", "title" : "Inferotemporal neurons distinguish and retain behaviorally relevant features of visual stimuli.", "type" : "article-journal", "volume" : "212" }, "uris" : [ "http://www.mendeley.com/documents/?uuid=d8ac9ac0-4f85-4228-af3c-2fe490489632" ] }, { "id" : "ITEM-4", "itemData" : { "author" : [ { "dropping-particle" : "", "family" : "Fuster", "given" : "J M", "non-dropping-particle" : "", "parse-names" : false, "suffix" : "" }, { "dropping-particle" : "", "family" : "Bauer", "given" : "R H", "non-dropping-particle" : "", "parse-names" : false, "suffix" : "" }, { "dropping-particle" : "", "family" : "Jervey", "given" : "J P", "non-dropping-particle" : "", "parse-names" : false, "suffix" : "" } ], "container-title" : "Brain Research", "id" : "ITEM-4", "issued" : { "date-parts" : [ [ "1985" ] ] }, "note" : "important: prefrontal cooling (20 C) and infero temporal cooling both diminished color-dependent differences in the remote region (in no case augmented) ! (against milner's view!) &amp;quot;In other words, under cooling the cells had a tendency to treat different colors alike&amp;quot;. at the same time, errors on task performance increased. differnces in both responses and delay discharges. remote cooling -&amp;gt; diminuishion or augmentation of color responses. \\ mutal influences (inf temp - front) visual discrimination and short term memory\nReprint Status: In File", "page" : "299-307", "title" : "Functional interactions between inferotemporal and prefrontal cortex in a cognitive task", "type" : "article-journal", "volume" : "330" }, "uris" : [ "http://www.mendeley.com/documents/?uuid=8550a489-6a0c-425b-b087-18b32f90cdbf" ] }, { "id" : "ITEM-5", "itemData" : { "DOI" : "10.1002/cne.902900402", "ISBN" : "0021-9967 (Print)\\r0021-9967 (Linking)", "ISSN" : "00219967", "PMID" : "2482305", "abstract" : "The intrinsic connections of the superior temporal sulcus (STS) in the rhesus monkey were studied by anterograde and retrograde tracer techniques and correlated with a reevaluation of cortical cytoarchitecture. The polymodal region in the upper bank (area TPO) is divisible into four rostral-to-caudal architectonic sectors, exhibiting increasing degrees of laminar differentiation and cellularity as one proceeds caudally. These sectors, including the sulcal proisocortex (area Pro), are tied together in a sequence of reciprocal connections. Each rostrocaudal sector of area TPO also has reciprocal connections with the laterally adjacent area TAa, at the upper rim of the sulcus, and medially adjacent areas PGa and IPa, near the depth. A similar arachitectonic/connectional organization exists for unimodal vision-related cortex in the lower bank of the STS. Here a rostrocaudal sequence of reciprocal connections unites area Pro, rostral and caudal divisions of area TEa, and the extrastriate visual area OAa (MT). Area TEa also has reciprocal connections with adjacent segments of area TEm laterally, at the lower rim of the sulcus, and area IPa, medially, in the depth. In both upper and lower banks, caudal-to-rostral \"forwardgoing\" connections begin in supragranular layers of cortex and terminate in and around layer IV. Reciprocal, \"backgoing\" connections take origin from cells in infragranular layers and terminate mainly over the first layer of the caudally adjacent target zone. Orthogonally directed, \"side-to-side\" projections originate in both supra- and infragranular layers and terminate diffusely over all layers of cortex.", "author" : [ { "dropping-particle" : "", "family" : "Seltzer", "given" : "B.", "non-dropping-particle" : "", "parse-names" : false, "suffix" : "" }, { "dropping-particle" : "", "family" : "Pandya", "given" : "D. N.", "non-dropping-particle" : "", "parse-names" : false, "suffix" : "" } ], "container-title" : "Journal of Comparative Neurology", "id" : "ITEM-5", "issue" : "4", "issued" : { "date-parts" : [ [ "1989" ] ] }, "note" : "0021-9967 (Print)\n0021-9967 (Linking)\nJournal Article\nResearch Support, Non-U.S. Gov't\nResearch Support, U.S. Gov't, Non-P.H.S.\nResearch Support, U.S. Gov't, P.H.S.", "page" : "451-471", "title" : "Intrinsic connections and architectonics of the superior temporal sulcus in the rhesus monkey", "type" : "article-journal", "volume" : "290" }, "uris" : [ "http://www.mendeley.com/documents/?uuid=f9d78a2d-8a41-44d4-9ff2-88e812525ad5" ] } ], "mendeley" : { "formattedCitation" : "(Bauer and Jones, 1976; Fuster et al., 1985; Fuster and Jervey, 1981; Makris and Pandya, 2009; Seltzer and Pandya, 1989)", "plainTextFormattedCitation" : "(Bauer and Jones, 1976; Fuster et al., 1985; Fuster and Jervey, 1981; Makris and Pandya, 2009; Seltzer and Pandya, 1989)", "previouslyFormattedCitation" : "(Bauer and Jones, 1976; Fuster et al., 1985; Fuster and Jervey, 1981; Makris and Pandya, 2009; Seltzer and Pandya, 1989)" }, "properties" : {  }, "schema" : "https://github.com/citation-style-language/schema/raw/master/csl-citation.json" }</w:instrText>
            </w:r>
            <w:r w:rsidRPr="007C17A6">
              <w:rPr>
                <w:rFonts w:ascii="Times New Roman" w:hAnsi="Times New Roman" w:cs="Times New Roman"/>
                <w:sz w:val="24"/>
                <w:szCs w:val="24"/>
              </w:rPr>
              <w:fldChar w:fldCharType="separate"/>
            </w:r>
            <w:r w:rsidRPr="007C17A6">
              <w:rPr>
                <w:rFonts w:ascii="Times New Roman" w:hAnsi="Times New Roman" w:cs="Times New Roman"/>
                <w:noProof/>
                <w:sz w:val="24"/>
                <w:szCs w:val="24"/>
              </w:rPr>
              <w:t>(Bauer and Jones, 1976; Fuster et al., 1985; Fuster and Jervey, 1981; Makris and Pandya, 2009; Seltzer and Pandya, 1989)</w:t>
            </w:r>
            <w:r w:rsidRPr="007C17A6">
              <w:rPr>
                <w:rFonts w:ascii="Times New Roman" w:hAnsi="Times New Roman" w:cs="Times New Roman"/>
                <w:sz w:val="24"/>
                <w:szCs w:val="24"/>
              </w:rPr>
              <w:fldChar w:fldCharType="end"/>
            </w:r>
          </w:p>
        </w:tc>
      </w:tr>
      <w:tr w:rsidR="00BB04AA" w:rsidRPr="007C17A6" w14:paraId="2C761CCC" w14:textId="77777777" w:rsidTr="00BB04AA">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8595D" w14:textId="77777777"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t>PF</w:t>
            </w:r>
            <w:r w:rsidRPr="007C17A6">
              <w:rPr>
                <w:rFonts w:ascii="Times New Roman" w:hAnsi="Times New Roman" w:cs="Times New Roman"/>
                <w:sz w:val="24"/>
                <w:szCs w:val="24"/>
                <w:vertAlign w:val="subscript"/>
              </w:rPr>
              <w:t>L</w:t>
            </w:r>
            <w:r w:rsidRPr="007C17A6">
              <w:rPr>
                <w:rFonts w:ascii="Times New Roman" w:hAnsi="Times New Roman" w:cs="Times New Roman"/>
                <w:sz w:val="24"/>
                <w:szCs w:val="24"/>
              </w:rPr>
              <w:t>, M1</w:t>
            </w:r>
            <w:r w:rsidRPr="007C17A6">
              <w:rPr>
                <w:rFonts w:ascii="Times New Roman" w:hAnsi="Times New Roman" w:cs="Times New Roman"/>
                <w:sz w:val="24"/>
                <w:szCs w:val="24"/>
                <w:vertAlign w:val="subscript"/>
              </w:rPr>
              <w:t>L</w:t>
            </w:r>
          </w:p>
        </w:tc>
        <w:tc>
          <w:tcPr>
            <w:tcW w:w="7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B93D6C" w14:textId="112CB5CA" w:rsidR="00BB04AA" w:rsidRPr="007C17A6" w:rsidRDefault="00BB04AA">
            <w:pPr>
              <w:spacing w:after="0" w:line="240" w:lineRule="auto"/>
              <w:rPr>
                <w:rFonts w:ascii="Times New Roman" w:hAnsi="Times New Roman" w:cs="Times New Roman"/>
                <w:sz w:val="24"/>
                <w:szCs w:val="24"/>
              </w:rPr>
            </w:pPr>
            <w:r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"10.1016/0006-8993(92)90109-M", "ISBN" : "0006-8993 (Print)\\r0006-8993 (Linking)", "ISSN" : "00068993", "PMID" : "1374284", "abstract" : "Injections of the retrograde/anterograde tracers Wheat Germ Agglutinin-Horseradish peroxidase (WGA-HRP) into the cortex along the banks of the inferior limb of the arcuate sulcus in the cortex of 4 macaque monkeys (Macaca fascicularis) were used to investigate its c corticocortical connections. All injections produced transported label within the sulcus principalis, the ventral lateral prefrontal cortex, the anterior cingulate sulcus and the dorsal insular cortex. The distribution of label within each of these areas differed slightly depending on the injection site. Injections along the caudal bank of the inferior arcuate sulcus label premotor, supplementary motor, and precentral motor areas but produce relatively sparse prefrontal labeling. Posteriorly label is transported to the inferior parietal cortex and the dorsal opercular bank of the Sylvian fissure. Injections along the rostral bank of the sulcus do not label motor areas but produce labeling in dorsal, lateral and orbital prefrontal areas, and in cortex along the ventral bank of the superior branch of the arcuate sulcus. Posteriorly label is transported to cortical areas in the superior temporal gyrus including the dorsal bank of the superior temporal sulcus. The more dorsal rostral bank injection produced both superior temporal and some sparse inferior parietal labeling and the more ventral rostral bank injection produced extensive superior temporal labeling but no parietal labeling. No labeling was ever seen in cortex ventral to the fundus of the superior temporal sulcus. Although other auditory recipient prefrontal areas have been reported, this is the first demonstration of a region chiefly devoted to auditory connections within the ventral frontal cortex. Its adjacency to areas associated with vocal muscle movement, and its connections to midline cortical areas associated with vocal functions in both primates and humans may provide important clues to the organization of Broca's language area. ?? 1992.", "author" : [ { "dropping-particle" : "", "family" : "Deacon", "given" : "Terrence W.", "non-dropping-particle" : "", "parse-names" : false, "suffix" : "" } ], "container-title" : "Brain Research", "id" : "ITEM-1", "issue" : "1", "issued" : { "date-parts" : [ [ "1992" ] ] }, "page" : "8-26", "title" : "Cortical connections of the inferior arcuate sulcus cortex in the macaque brain", "type" : "article-journal", "volume" : "573" }, "uris" : [ "http://www.mendeley.com/documents/?uuid=3ca911c8-ea2b-46cf-a83a-c316d62263b9" ] }, { "id" : "ITEM-2", "itemData" : { "author" : [ { "dropping-particle" : "", "family" : "Young", "given" : "M P", "non-dropping-particle" : "", "parse-names" : false, "suffix" : "" }, { "dropping-particle" : "", "family" : "Scannell", "given" : "J W", "non-dropping-particle" : "", "parse-names" : false, "suffix" : "" }, { "dropping-particle" : "", "family" : "Burns", "given" : "G", "non-dropping-particle" : "", "parse-names" : false, "suffix" : "" } ], "id" : "ITEM-2", "issued" : { "date-parts" : [ [ "1995" ] ] }, "note" : "Reprint Status:  In File", "publisher" : "Springer", "publisher-place" : "Heidelberg", "title" : "The analysis of cortical connectivity", "type" : "book" }, "uris" : [ "http://www.mendeley.com/documents/?uuid=cb0c66b4-daf1-497f-aedb-e3beec43fe3d" ] }, { "id" : "ITEM-3", "itemData" : { "DOI" : "10.1016/S1053-8119(03)00165-4", "ISBN" : "1053-8119", "ISSN" : "10538119", "PMID" : "12948693", "abstract" : "In this study, we combined advanced MR techniques to explore primary motor cortex (M1) connectivity in the human brain. We matched functional and anatomical information using motor functional MRI (fMRI) and white matter tractography inferred from diffusion tensor imaging (DTI). We performed coregistered DTI and motor task fMRI in 8 right-handed healthy subjects and in 1 right-handed patient presenting with a left precentral tumour. We used the fast-marching tractography (FMT) algorithm to define 3D connectivity maps within the whole brain, from seed points selected in the white matter adjacent to the location of the maximum of fMRI activation. Connectivity maps were then anatomically normalised and analysed using statistical parametric mapping software (SPM99) allowing group comparisons (left versus right hemisphere in control subjects and patient versus control subjects). The results demonstrated, in all control subjects, strong connections from M1 to the pyramidal tracts, premotor areas, parietal cortices, thalamus, and cerebellum. M1 connectivity was asymmetric, being more extensive in the dominant hemisphere. The patient had differences in M1 connectivity from the control group. Thus, fMRI-correlated DTI-FMT is a promising tool to study the structural basis of functional networks in the human brain in vivo. ?? 2003 Elsevier Science (USA). All rights reserved.", "author" : [ { "dropping-particle" : "", "family" : "Guye", "given" : "Maxime", "non-dropping-particle" : "", "parse-names" : false, "suffix" : "" }, { "dropping-particle" : "", "family" : "Parker", "given" : "Geoffrey J M", "non-dropping-particle" : "", "parse-names" : false, "suffix" : "" }, { "dropping-particle" : "", "family" : "Symms", "given" : "Mark", "non-dropping-particle" : "", "parse-names" : false, "suffix" : "" }, { "dropping-particle" : "", "family" : "Boulby", "given" : "Philip", "non-dropping-particle" : "", "parse-names" : false, "suffix" : "" }, { "dropping-particle" : "", "family" : "Wheeler-Kingshott", "given" : "Claudia A M", "non-dropping-particle" : "", "parse-names" : false, "suffix" : "" }, { "dropping-particle" : "", "family" : "Salek-Haddadi", "given" : "Afraim", "non-dropping-particle" : "", "parse-names" : false, "suffix" : "" }, { "dropping-particle" : "", "family" : "Barker", "given" : "Gareth J.", "non-dropping-particle" : "", "parse-names" : false, "suffix" : "" }, { "dropping-particle" : "", "family" : "Duncan", "given" : "John S.", "non-dropping-particle" : "", "parse-names" : false, "suffix" : "" } ], "container-title" : "NeuroImage", "id" : "ITEM-3", "issue" : "4", "issued" : { "date-parts" : [ [ "2003" ] ] }, "note" : "1053-8119 (Print)\n1053-8119 (Linking)\nJournal Article\nResearch Support, Non-U.S. Gov't", "page" : "1349-1360", "title" : "Combined functional MRI and tractography to demonstrate the connectivity of the human primary motor cortex in vivo", "type" : "article-journal", "volume" : "19" }, "uris" : [ "http://www.mendeley.com/documents/?uuid=f1e4807b-ab19-400a-8d66-16d39350320a" ] } ], "mendeley" : { "formattedCitation" : "(Deacon, 1992; Guye et al., 2003; Young et al., 1995)", "plainTextFormattedCitation" : "(Deacon, 1992; Guye et al., 2003; Young et al., 1995)", "previouslyFormattedCitation" : "(Deacon, 1992; Guye et al., 2003; Young et al., 1995)" }, "properties" : {  }, "schema" : "https://github.com/citation-style-language/schema/raw/master/csl-citation.json" }</w:instrText>
            </w:r>
            <w:r w:rsidRPr="007C17A6">
              <w:rPr>
                <w:rFonts w:ascii="Times New Roman" w:hAnsi="Times New Roman" w:cs="Times New Roman"/>
                <w:sz w:val="24"/>
                <w:szCs w:val="24"/>
              </w:rPr>
              <w:fldChar w:fldCharType="separate"/>
            </w:r>
            <w:bookmarkStart w:id="118" w:name="__Fieldmark__1112_2073936654"/>
            <w:bookmarkStart w:id="119" w:name="__Fieldmark__1246_531023477"/>
            <w:bookmarkStart w:id="120" w:name="__Fieldmark__1493_582625014"/>
            <w:r w:rsidRPr="007C17A6">
              <w:rPr>
                <w:rFonts w:ascii="Times New Roman" w:hAnsi="Times New Roman" w:cs="Times New Roman"/>
                <w:noProof/>
                <w:sz w:val="24"/>
                <w:szCs w:val="24"/>
              </w:rPr>
              <w:t>(Deacon, 1992; Guye et al., 2003; Young et al., 1995)</w:t>
            </w:r>
            <w:r w:rsidRPr="007C17A6">
              <w:rPr>
                <w:rFonts w:ascii="Times New Roman" w:hAnsi="Times New Roman" w:cs="Times New Roman"/>
                <w:sz w:val="24"/>
                <w:szCs w:val="24"/>
              </w:rPr>
              <w:fldChar w:fldCharType="end"/>
            </w:r>
            <w:bookmarkEnd w:id="118"/>
            <w:bookmarkEnd w:id="119"/>
            <w:bookmarkEnd w:id="120"/>
          </w:p>
        </w:tc>
      </w:tr>
    </w:tbl>
    <w:p w14:paraId="7DFA4319" w14:textId="2BF26E99" w:rsidR="00E740D6" w:rsidRPr="007C17A6" w:rsidRDefault="00E740D6" w:rsidP="00BB04AA">
      <w:pPr>
        <w:spacing w:after="0" w:line="240" w:lineRule="auto"/>
        <w:contextualSpacing/>
        <w:jc w:val="both"/>
        <w:rPr>
          <w:rFonts w:ascii="Times New Roman" w:hAnsi="Times New Roman" w:cs="Times New Roman"/>
          <w:color w:val="000000" w:themeColor="text1"/>
          <w:sz w:val="24"/>
          <w:szCs w:val="24"/>
          <w:lang w:val="en-GB"/>
        </w:rPr>
      </w:pPr>
    </w:p>
    <w:p w14:paraId="6472C0F7" w14:textId="77777777" w:rsidR="00A838DC" w:rsidRPr="007C17A6" w:rsidRDefault="00E5421A" w:rsidP="00E740D6">
      <w:pPr>
        <w:pStyle w:val="Heading2"/>
        <w:spacing w:before="120" w:after="120" w:line="240" w:lineRule="auto"/>
        <w:contextualSpacing/>
        <w:jc w:val="both"/>
        <w:rPr>
          <w:rFonts w:ascii="Times New Roman" w:hAnsi="Times New Roman" w:cs="Times New Roman"/>
          <w:b/>
          <w:color w:val="00000A"/>
          <w:sz w:val="24"/>
          <w:szCs w:val="24"/>
        </w:rPr>
      </w:pPr>
      <w:r w:rsidRPr="007C17A6">
        <w:rPr>
          <w:rFonts w:ascii="Times New Roman" w:hAnsi="Times New Roman" w:cs="Times New Roman"/>
          <w:b/>
          <w:color w:val="00000A"/>
          <w:sz w:val="24"/>
          <w:szCs w:val="24"/>
        </w:rPr>
        <w:t xml:space="preserve">Simulating word acquisition  </w:t>
      </w:r>
    </w:p>
    <w:p w14:paraId="3B131B5B" w14:textId="7AA6F7F5" w:rsidR="0029361B" w:rsidRPr="007C17A6" w:rsidRDefault="00E5421A" w:rsidP="0077421C">
      <w:pPr>
        <w:spacing w:before="120" w:after="120" w:line="240" w:lineRule="auto"/>
        <w:contextualSpacing/>
        <w:jc w:val="both"/>
        <w:rPr>
          <w:rFonts w:ascii="Times New Roman" w:hAnsi="Times New Roman" w:cs="Times New Roman"/>
          <w:sz w:val="24"/>
          <w:szCs w:val="24"/>
          <w:lang w:val="en-GB"/>
        </w:rPr>
      </w:pPr>
      <w:r w:rsidRPr="007C17A6">
        <w:rPr>
          <w:rFonts w:ascii="Times New Roman" w:hAnsi="Times New Roman" w:cs="Times New Roman"/>
          <w:noProof/>
          <w:sz w:val="24"/>
          <w:szCs w:val="24"/>
          <w:lang w:val="en-GB"/>
        </w:rPr>
        <w:t>Prior to</w:t>
      </w:r>
      <w:r w:rsidRPr="007C17A6">
        <w:rPr>
          <w:rFonts w:ascii="Times New Roman" w:hAnsi="Times New Roman" w:cs="Times New Roman"/>
          <w:sz w:val="24"/>
          <w:szCs w:val="24"/>
          <w:lang w:val="en-GB"/>
        </w:rPr>
        <w:t xml:space="preserve"> network training, all synaptic links (between- and within-areas) connecting single cells were established at random (see Methods section under “</w:t>
      </w:r>
      <w:r w:rsidRPr="007C17A6">
        <w:rPr>
          <w:rFonts w:ascii="Times New Roman" w:hAnsi="Times New Roman" w:cs="Times New Roman"/>
          <w:i/>
          <w:sz w:val="24"/>
          <w:szCs w:val="24"/>
          <w:lang w:val="en-GB"/>
        </w:rPr>
        <w:t>Structure and function of the spiking model”</w:t>
      </w:r>
      <w:r w:rsidR="000A22B8" w:rsidRPr="007C17A6">
        <w:rPr>
          <w:rFonts w:ascii="Times New Roman" w:hAnsi="Times New Roman" w:cs="Times New Roman"/>
          <w:sz w:val="24"/>
          <w:szCs w:val="24"/>
          <w:lang w:val="en-GB"/>
        </w:rPr>
        <w:t xml:space="preserve">). </w:t>
      </w:r>
      <w:r w:rsidR="00F02A88" w:rsidRPr="007C17A6">
        <w:rPr>
          <w:rFonts w:ascii="Times New Roman" w:hAnsi="Times New Roman" w:cs="Times New Roman"/>
          <w:sz w:val="24"/>
          <w:szCs w:val="24"/>
          <w:lang w:val="en-GB"/>
        </w:rPr>
        <w:t>Based on Hebbian (Hebb 1949) learning principles, w</w:t>
      </w:r>
      <w:r w:rsidRPr="007C17A6">
        <w:rPr>
          <w:rFonts w:ascii="Times New Roman" w:hAnsi="Times New Roman" w:cs="Times New Roman"/>
          <w:sz w:val="24"/>
          <w:szCs w:val="24"/>
          <w:lang w:val="en-GB"/>
        </w:rPr>
        <w:t>ord-meaning acquisition was simulated under the impact of repeated sensorimotor pattern presentations</w:t>
      </w:r>
      <w:r w:rsidR="00B54741" w:rsidRPr="007C17A6">
        <w:rPr>
          <w:rFonts w:ascii="Times New Roman" w:hAnsi="Times New Roman" w:cs="Times New Roman"/>
          <w:sz w:val="24"/>
          <w:szCs w:val="24"/>
          <w:lang w:val="en-GB"/>
        </w:rPr>
        <w:t xml:space="preserve"> </w:t>
      </w:r>
      <w:r w:rsidR="00B54741" w:rsidRPr="007C17A6">
        <w:rPr>
          <w:rFonts w:ascii="Times New Roman" w:hAnsi="Times New Roman" w:cs="Times New Roman"/>
          <w:sz w:val="24"/>
          <w:szCs w:val="24"/>
          <w:lang w:val="en-GB"/>
        </w:rPr>
        <w:fldChar w:fldCharType="begin" w:fldLock="1"/>
      </w:r>
      <w:r w:rsidR="007F4106" w:rsidRPr="007C17A6">
        <w:rPr>
          <w:rFonts w:ascii="Times New Roman" w:hAnsi="Times New Roman" w:cs="Times New Roman"/>
          <w:sz w:val="24"/>
          <w:szCs w:val="24"/>
          <w:lang w:val="en-GB"/>
        </w:rPr>
        <w:instrText>ADDIN CSL_CITATION { "citationItems" : [ { "id" : "ITEM-1", "itemData" : { "DOI" : "10.1098/rstb.2007.2086", "ISBN" : "0962-8436 (Print)\\n0962-8436 (Linking)", "ISSN" : "0962-8436 (Print) 0962-8436 (Linking)", "PMID" : "17400538", "abstract" : "Working memory refers to the temporary retention of information that was just experienced or just retrieved from long-term memory but no longer exists in the external environment. These internal representations are short-lived, but can be stored for longer periods of time through active maintenance or rehearsal strategies, and can be subjected to various operations that manipulate the information in such a way that makes it useful for goal-directed behaviour. Empirical studies of working memory using neuroscientific techniques, such as neuronal recordings in monkeys or functional neuroimaging in humans, have advanced our knowledge of the underlying neural mechanisms of working memory. This rich dataset can be reconciled with behavioural findings derived from investigating the cognitive mechanisms underlying working memory. In this paper, I review the progress that has been made towards this effort by illustrating how investigations of the neural mechanisms underlying working memory can be influenced by cognitive models and, in turn, how cognitive models can be shaped and modified by neuroscientific data. One conclusion that arises from this research is that working memory can be viewed as neither a unitary nor a dedicated system. A network of brain regions, including the prefrontal cortex (PFC), is critical for the active maintenance of internal representations that are necessary for goal-directed behaviour. Thus, working memory is not localized to a single brain region but probably is an emergent property of the functional interactions between the PFC and the rest of the brain.", "author" : [ { "dropping-particle" : "", "family" : "D'Esposito", "given" : "M", "non-dropping-particle" : "", "parse-names" : false, "suffix" : "" } ], "container-title" : "Proceedings of the Royal Society of London B: Biological Sciences", "id" : "ITEM-1", "issue" : "1481", "issued" : { "date-parts" : [ [ "2007" ] ] }, "note" : "0962-8436 (Print)\n0962-8436 (Linking)\nJournal Article\nReview", "page" : "761-772", "title" : "From cognitive to neural models of working memory", "type" : "article-journal", "volume" : "362" }, "uris" : [ "http://www.mendeley.com/documents/?uuid=75c4034e-0444-4bd3-b42a-80af9fc95a99" ] }, { "id" : "ITEM-2", "itemData" : { "ISBN" : "0195147529", "author" : [ { "dropping-particle" : "", "family" : "Fuster", "given" : "Joaquin M", "non-dropping-particle" : "", "parse-names" : false, "suffix" : "" } ], "id" : "ITEM-2", "issued" : { "date-parts" : [ [ "2003" ] ] }, "publisher" : "Oxford university press", "title" : "Cortex and mind: Unifying cognition.", "type" : "book" }, "uris" : [ "http://www.mendeley.com/documents/?uuid=25f3611d-9b58-4c94-82f5-bd0e1d92d640" ] } ], "mendeley" : { "formattedCitation" : "(D\u2019Esposito, 2007; Fuster, 2003)", "plainTextFormattedCitation" : "(D\u2019Esposito, 2007; Fuster, 2003)", "previouslyFormattedCitation" : "(D\u2019Esposito, 2007; Fuster, 2003)" }, "properties" : {  }, "schema" : "https://github.com/citation-style-language/schema/raw/master/csl-citation.json" }</w:instrText>
      </w:r>
      <w:r w:rsidR="00B54741" w:rsidRPr="007C17A6">
        <w:rPr>
          <w:rFonts w:ascii="Times New Roman" w:hAnsi="Times New Roman" w:cs="Times New Roman"/>
          <w:sz w:val="24"/>
          <w:szCs w:val="24"/>
          <w:lang w:val="en-GB"/>
        </w:rPr>
        <w:fldChar w:fldCharType="separate"/>
      </w:r>
      <w:r w:rsidR="0029361B" w:rsidRPr="007C17A6">
        <w:rPr>
          <w:rFonts w:ascii="Times New Roman" w:hAnsi="Times New Roman" w:cs="Times New Roman"/>
          <w:noProof/>
          <w:sz w:val="24"/>
          <w:szCs w:val="24"/>
          <w:lang w:val="en-GB"/>
        </w:rPr>
        <w:t>(D’Esposito, 2007; Fuster, 2003)</w:t>
      </w:r>
      <w:r w:rsidR="00B54741" w:rsidRPr="007C17A6">
        <w:rPr>
          <w:rFonts w:ascii="Times New Roman" w:hAnsi="Times New Roman" w:cs="Times New Roman"/>
          <w:sz w:val="24"/>
          <w:szCs w:val="24"/>
          <w:lang w:val="en-GB"/>
        </w:rPr>
        <w:fldChar w:fldCharType="end"/>
      </w:r>
      <w:r w:rsidR="00F02A88" w:rsidRPr="007C17A6">
        <w:rPr>
          <w:rFonts w:ascii="Times New Roman" w:hAnsi="Times New Roman" w:cs="Times New Roman"/>
          <w:sz w:val="24"/>
          <w:szCs w:val="24"/>
          <w:lang w:val="en-GB"/>
        </w:rPr>
        <w:t xml:space="preserve"> </w:t>
      </w:r>
      <w:r w:rsidRPr="007C17A6">
        <w:rPr>
          <w:rFonts w:ascii="Times New Roman" w:hAnsi="Times New Roman" w:cs="Times New Roman"/>
          <w:sz w:val="24"/>
          <w:szCs w:val="24"/>
          <w:lang w:val="en-GB"/>
        </w:rPr>
        <w:t>to the primary areas of the network (see Fig 2</w:t>
      </w:r>
      <w:r w:rsidR="00F02A88" w:rsidRPr="007C17A6">
        <w:rPr>
          <w:rFonts w:ascii="Times New Roman" w:hAnsi="Times New Roman" w:cs="Times New Roman"/>
          <w:sz w:val="24"/>
          <w:szCs w:val="24"/>
          <w:lang w:val="en-GB"/>
        </w:rPr>
        <w:t xml:space="preserve">), </w:t>
      </w:r>
      <w:r w:rsidRPr="007C17A6">
        <w:rPr>
          <w:rFonts w:ascii="Times New Roman" w:hAnsi="Times New Roman" w:cs="Times New Roman"/>
          <w:sz w:val="24"/>
          <w:szCs w:val="24"/>
          <w:lang w:val="en-GB"/>
        </w:rPr>
        <w:t xml:space="preserve">as follows: Each network instance used </w:t>
      </w:r>
      <w:r w:rsidR="00C0755B" w:rsidRPr="007C17A6">
        <w:rPr>
          <w:rFonts w:ascii="Times New Roman" w:hAnsi="Times New Roman" w:cs="Times New Roman"/>
          <w:sz w:val="24"/>
          <w:szCs w:val="24"/>
          <w:lang w:val="en-GB"/>
        </w:rPr>
        <w:t>twelve</w:t>
      </w:r>
      <w:r w:rsidRPr="007C17A6">
        <w:rPr>
          <w:rFonts w:ascii="Times New Roman" w:hAnsi="Times New Roman" w:cs="Times New Roman"/>
          <w:sz w:val="24"/>
          <w:szCs w:val="24"/>
          <w:lang w:val="en-GB"/>
        </w:rPr>
        <w:t xml:space="preserve"> </w:t>
      </w:r>
      <w:r w:rsidR="00C0755B" w:rsidRPr="007C17A6">
        <w:rPr>
          <w:rFonts w:ascii="Times New Roman" w:hAnsi="Times New Roman" w:cs="Times New Roman"/>
          <w:sz w:val="24"/>
          <w:szCs w:val="24"/>
          <w:lang w:val="en-GB"/>
        </w:rPr>
        <w:t>distinct</w:t>
      </w:r>
      <w:r w:rsidRPr="007C17A6">
        <w:rPr>
          <w:rFonts w:ascii="Times New Roman" w:hAnsi="Times New Roman" w:cs="Times New Roman"/>
          <w:sz w:val="24"/>
          <w:szCs w:val="24"/>
          <w:lang w:val="en-GB"/>
        </w:rPr>
        <w:t xml:space="preserve"> sets of sensorimotor </w:t>
      </w:r>
      <w:r w:rsidR="00C0755B" w:rsidRPr="007C17A6">
        <w:rPr>
          <w:rFonts w:ascii="Times New Roman" w:hAnsi="Times New Roman" w:cs="Times New Roman"/>
          <w:sz w:val="24"/>
          <w:szCs w:val="24"/>
          <w:lang w:val="en-GB"/>
        </w:rPr>
        <w:t>neural</w:t>
      </w:r>
      <w:r w:rsidRPr="007C17A6">
        <w:rPr>
          <w:rFonts w:ascii="Times New Roman" w:hAnsi="Times New Roman" w:cs="Times New Roman"/>
          <w:sz w:val="24"/>
          <w:szCs w:val="24"/>
          <w:lang w:val="en-GB"/>
        </w:rPr>
        <w:t xml:space="preserve"> patterns representing six </w:t>
      </w:r>
      <w:r w:rsidR="00C0755B" w:rsidRPr="007C17A6">
        <w:rPr>
          <w:rFonts w:ascii="Times New Roman" w:hAnsi="Times New Roman" w:cs="Times New Roman"/>
          <w:sz w:val="24"/>
          <w:szCs w:val="24"/>
          <w:lang w:val="en-GB"/>
        </w:rPr>
        <w:t>action</w:t>
      </w:r>
      <w:r w:rsidRPr="007C17A6">
        <w:rPr>
          <w:rFonts w:ascii="Times New Roman" w:hAnsi="Times New Roman" w:cs="Times New Roman"/>
          <w:sz w:val="24"/>
          <w:szCs w:val="24"/>
          <w:lang w:val="en-GB"/>
        </w:rPr>
        <w:t xml:space="preserve">- and six </w:t>
      </w:r>
      <w:r w:rsidR="00C0755B" w:rsidRPr="007C17A6">
        <w:rPr>
          <w:rFonts w:ascii="Times New Roman" w:hAnsi="Times New Roman" w:cs="Times New Roman"/>
          <w:sz w:val="24"/>
          <w:szCs w:val="24"/>
          <w:lang w:val="en-GB"/>
        </w:rPr>
        <w:t>object</w:t>
      </w:r>
      <w:r w:rsidRPr="007C17A6">
        <w:rPr>
          <w:rFonts w:ascii="Times New Roman" w:hAnsi="Times New Roman" w:cs="Times New Roman"/>
          <w:sz w:val="24"/>
          <w:szCs w:val="24"/>
          <w:lang w:val="en-GB"/>
        </w:rPr>
        <w:t>-</w:t>
      </w:r>
      <w:r w:rsidRPr="007C17A6">
        <w:rPr>
          <w:rFonts w:ascii="Times New Roman" w:hAnsi="Times New Roman" w:cs="Times New Roman"/>
          <w:sz w:val="24"/>
          <w:szCs w:val="24"/>
          <w:lang w:val="en-GB"/>
        </w:rPr>
        <w:lastRenderedPageBreak/>
        <w:t xml:space="preserve">related words. Each pattern consisted of a fixed set of 19 cells chosen at random within the 25 x 25 cells of an area (ca. 3% of the cells) and simultaneously activated in one of the primary areas of the network. The learning of object- and action-related words </w:t>
      </w:r>
      <w:r w:rsidRPr="007C17A6">
        <w:rPr>
          <w:rFonts w:ascii="Times New Roman" w:hAnsi="Times New Roman" w:cs="Times New Roman"/>
          <w:noProof/>
          <w:sz w:val="24"/>
          <w:szCs w:val="24"/>
          <w:lang w:val="en-GB"/>
        </w:rPr>
        <w:t>w</w:t>
      </w:r>
      <w:r w:rsidR="00D905DF" w:rsidRPr="007C17A6">
        <w:rPr>
          <w:rFonts w:ascii="Times New Roman" w:hAnsi="Times New Roman" w:cs="Times New Roman"/>
          <w:noProof/>
          <w:sz w:val="24"/>
          <w:szCs w:val="24"/>
          <w:lang w:val="en-GB"/>
        </w:rPr>
        <w:t>ere</w:t>
      </w:r>
      <w:r w:rsidRPr="007C17A6">
        <w:rPr>
          <w:rFonts w:ascii="Times New Roman" w:hAnsi="Times New Roman" w:cs="Times New Roman"/>
          <w:sz w:val="24"/>
          <w:szCs w:val="24"/>
          <w:lang w:val="en-GB"/>
        </w:rPr>
        <w:t xml:space="preserve"> grounded in </w:t>
      </w:r>
      <w:r w:rsidRPr="007C17A6">
        <w:rPr>
          <w:rFonts w:ascii="Times New Roman" w:hAnsi="Times New Roman" w:cs="Times New Roman"/>
          <w:noProof/>
          <w:sz w:val="24"/>
          <w:szCs w:val="24"/>
          <w:lang w:val="en-GB"/>
        </w:rPr>
        <w:t>sensorimotor</w:t>
      </w:r>
      <w:r w:rsidRPr="007C17A6">
        <w:rPr>
          <w:rFonts w:ascii="Times New Roman" w:hAnsi="Times New Roman" w:cs="Times New Roman"/>
          <w:sz w:val="24"/>
          <w:szCs w:val="24"/>
          <w:lang w:val="en-GB"/>
        </w:rPr>
        <w:t xml:space="preserve"> information presented to </w:t>
      </w:r>
      <w:r w:rsidR="00C0755B" w:rsidRPr="007C17A6">
        <w:rPr>
          <w:rFonts w:ascii="Times New Roman" w:hAnsi="Times New Roman" w:cs="Times New Roman"/>
          <w:sz w:val="24"/>
          <w:szCs w:val="24"/>
          <w:lang w:val="en-GB"/>
        </w:rPr>
        <w:t>the</w:t>
      </w:r>
      <w:r w:rsidRPr="007C17A6">
        <w:rPr>
          <w:rFonts w:ascii="Times New Roman" w:hAnsi="Times New Roman" w:cs="Times New Roman"/>
          <w:sz w:val="24"/>
          <w:szCs w:val="24"/>
          <w:lang w:val="en-GB"/>
        </w:rPr>
        <w:t xml:space="preserve"> primary </w:t>
      </w:r>
      <w:r w:rsidR="00707C77" w:rsidRPr="007C17A6">
        <w:rPr>
          <w:rFonts w:ascii="Times New Roman" w:hAnsi="Times New Roman" w:cs="Times New Roman"/>
          <w:noProof/>
          <w:sz w:val="24"/>
          <w:szCs w:val="24"/>
          <w:lang w:val="en-GB"/>
        </w:rPr>
        <w:t>cortic</w:t>
      </w:r>
      <w:r w:rsidR="00C0755B" w:rsidRPr="007C17A6">
        <w:rPr>
          <w:rFonts w:ascii="Times New Roman" w:hAnsi="Times New Roman" w:cs="Times New Roman"/>
          <w:noProof/>
          <w:sz w:val="24"/>
          <w:szCs w:val="24"/>
          <w:lang w:val="en-GB"/>
        </w:rPr>
        <w:t>es</w:t>
      </w:r>
      <w:r w:rsidRPr="007C17A6">
        <w:rPr>
          <w:rFonts w:ascii="Times New Roman" w:hAnsi="Times New Roman" w:cs="Times New Roman"/>
          <w:sz w:val="24"/>
          <w:szCs w:val="24"/>
          <w:lang w:val="en-GB"/>
        </w:rPr>
        <w:t xml:space="preserve"> of the model: besides perisylvian </w:t>
      </w:r>
      <w:r w:rsidR="00C0755B" w:rsidRPr="007C17A6">
        <w:rPr>
          <w:rFonts w:ascii="Times New Roman" w:hAnsi="Times New Roman" w:cs="Times New Roman"/>
          <w:sz w:val="24"/>
          <w:szCs w:val="24"/>
          <w:lang w:val="en-GB"/>
        </w:rPr>
        <w:t xml:space="preserve">auditory </w:t>
      </w:r>
      <w:r w:rsidRPr="007C17A6">
        <w:rPr>
          <w:rFonts w:ascii="Times New Roman" w:hAnsi="Times New Roman" w:cs="Times New Roman"/>
          <w:sz w:val="24"/>
          <w:szCs w:val="24"/>
          <w:lang w:val="en-GB"/>
        </w:rPr>
        <w:t>A1 and</w:t>
      </w:r>
      <w:r w:rsidR="00C0755B" w:rsidRPr="007C17A6">
        <w:rPr>
          <w:rFonts w:ascii="Times New Roman" w:hAnsi="Times New Roman" w:cs="Times New Roman"/>
          <w:sz w:val="24"/>
          <w:szCs w:val="24"/>
          <w:lang w:val="en-GB"/>
        </w:rPr>
        <w:t xml:space="preserve"> articulatory</w:t>
      </w:r>
      <w:r w:rsidRPr="007C17A6">
        <w:rPr>
          <w:rFonts w:ascii="Times New Roman" w:hAnsi="Times New Roman" w:cs="Times New Roman"/>
          <w:sz w:val="24"/>
          <w:szCs w:val="24"/>
          <w:lang w:val="en-GB"/>
        </w:rPr>
        <w:t xml:space="preserve"> M1</w:t>
      </w:r>
      <w:r w:rsidRPr="007C17A6">
        <w:rPr>
          <w:rFonts w:ascii="Times New Roman" w:hAnsi="Times New Roman" w:cs="Times New Roman"/>
          <w:sz w:val="24"/>
          <w:szCs w:val="24"/>
          <w:vertAlign w:val="subscript"/>
          <w:lang w:val="en-GB"/>
        </w:rPr>
        <w:t>i</w:t>
      </w:r>
      <w:r w:rsidRPr="007C17A6">
        <w:rPr>
          <w:rFonts w:ascii="Times New Roman" w:hAnsi="Times New Roman" w:cs="Times New Roman"/>
          <w:sz w:val="24"/>
          <w:szCs w:val="24"/>
          <w:lang w:val="en-GB"/>
        </w:rPr>
        <w:t xml:space="preserve"> activity, object-related words received concordant visual (V1) and, similarly, action-</w:t>
      </w:r>
      <w:r w:rsidR="00D54BE4" w:rsidRPr="007C17A6">
        <w:rPr>
          <w:rFonts w:ascii="Times New Roman" w:hAnsi="Times New Roman" w:cs="Times New Roman"/>
          <w:sz w:val="24"/>
          <w:szCs w:val="24"/>
          <w:lang w:val="en-GB"/>
        </w:rPr>
        <w:t>related</w:t>
      </w:r>
      <w:r w:rsidRPr="007C17A6">
        <w:rPr>
          <w:rFonts w:ascii="Times New Roman" w:hAnsi="Times New Roman" w:cs="Times New Roman"/>
          <w:sz w:val="24"/>
          <w:szCs w:val="24"/>
          <w:lang w:val="en-GB"/>
        </w:rPr>
        <w:t xml:space="preserve"> words received lateral motor area (M1</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xml:space="preserve">) grounding activity. Note that white (so-called “contextual”) noise was continuously presented to all primary areas of the network, and thus superimposed on all learning patterns. </w:t>
      </w:r>
      <w:r w:rsidRPr="007C17A6">
        <w:rPr>
          <w:rFonts w:ascii="Times New Roman" w:hAnsi="Times New Roman" w:cs="Times New Roman"/>
          <w:noProof/>
          <w:sz w:val="24"/>
          <w:szCs w:val="24"/>
          <w:lang w:val="en-GB"/>
        </w:rPr>
        <w:t>This</w:t>
      </w:r>
      <w:r w:rsidRPr="007C17A6">
        <w:rPr>
          <w:rFonts w:ascii="Times New Roman" w:hAnsi="Times New Roman" w:cs="Times New Roman"/>
          <w:sz w:val="24"/>
          <w:szCs w:val="24"/>
          <w:lang w:val="en-GB"/>
        </w:rPr>
        <w:t xml:space="preserve"> partly accounted for the variability of perceptions and actions of the same type. To sum up, the network was set up to learn correlations between word and referential semantic information in action and perception and to investigate which type of representations (</w:t>
      </w:r>
      <w:r w:rsidRPr="007C17A6">
        <w:rPr>
          <w:rFonts w:ascii="Times New Roman" w:hAnsi="Times New Roman" w:cs="Times New Roman"/>
          <w:noProof/>
          <w:sz w:val="24"/>
          <w:szCs w:val="24"/>
          <w:lang w:val="en-GB"/>
        </w:rPr>
        <w:t>i.e.</w:t>
      </w:r>
      <w:r w:rsidRPr="007C17A6">
        <w:rPr>
          <w:rFonts w:ascii="Times New Roman" w:hAnsi="Times New Roman" w:cs="Times New Roman"/>
          <w:sz w:val="24"/>
          <w:szCs w:val="24"/>
          <w:lang w:val="en-GB"/>
        </w:rPr>
        <w:t xml:space="preserve"> cell assemblies) would develop in the model as a result of learning and cortical structure.</w:t>
      </w:r>
      <w:r w:rsidR="0029361B" w:rsidRPr="007C17A6">
        <w:rPr>
          <w:rFonts w:ascii="Times New Roman" w:hAnsi="Times New Roman" w:cs="Times New Roman"/>
          <w:sz w:val="24"/>
          <w:szCs w:val="24"/>
          <w:lang w:val="en-GB"/>
        </w:rPr>
        <w:t xml:space="preserve"> </w:t>
      </w:r>
      <w:r w:rsidR="0029361B" w:rsidRPr="007C17A6">
        <w:rPr>
          <w:rFonts w:ascii="Times New Roman" w:hAnsi="Times New Roman" w:cs="Times New Roman"/>
          <w:iCs/>
          <w:color w:val="auto"/>
          <w:sz w:val="24"/>
          <w:szCs w:val="24"/>
          <w:shd w:val="clear" w:color="auto" w:fill="FFFFFF"/>
        </w:rPr>
        <w:t xml:space="preserve">Note that similar approaches to simulating spontaneous emergence of associations between articulatory and acoustic-phonetic neural patterns have </w:t>
      </w:r>
      <w:r w:rsidR="0029361B" w:rsidRPr="007C17A6">
        <w:rPr>
          <w:rFonts w:ascii="Times New Roman" w:hAnsi="Times New Roman" w:cs="Times New Roman"/>
          <w:iCs/>
          <w:noProof/>
          <w:color w:val="auto"/>
          <w:sz w:val="24"/>
          <w:szCs w:val="24"/>
          <w:shd w:val="clear" w:color="auto" w:fill="FFFFFF"/>
        </w:rPr>
        <w:t>been used</w:t>
      </w:r>
      <w:r w:rsidR="0029361B" w:rsidRPr="007C17A6">
        <w:rPr>
          <w:rFonts w:ascii="Times New Roman" w:hAnsi="Times New Roman" w:cs="Times New Roman"/>
          <w:iCs/>
          <w:color w:val="auto"/>
          <w:sz w:val="24"/>
          <w:szCs w:val="24"/>
          <w:shd w:val="clear" w:color="auto" w:fill="FFFFFF"/>
        </w:rPr>
        <w:t xml:space="preserve"> in other computational studies </w:t>
      </w:r>
      <w:r w:rsidR="0029361B" w:rsidRPr="007C17A6">
        <w:rPr>
          <w:rFonts w:ascii="Times New Roman" w:hAnsi="Times New Roman" w:cs="Times New Roman"/>
          <w:iCs/>
          <w:color w:val="auto"/>
          <w:sz w:val="24"/>
          <w:szCs w:val="24"/>
          <w:shd w:val="clear" w:color="auto" w:fill="FFFFFF"/>
        </w:rPr>
        <w:fldChar w:fldCharType="begin" w:fldLock="1"/>
      </w:r>
      <w:r w:rsidR="007F4106" w:rsidRPr="007C17A6">
        <w:rPr>
          <w:rFonts w:ascii="Times New Roman" w:hAnsi="Times New Roman" w:cs="Times New Roman"/>
          <w:iCs/>
          <w:color w:val="auto"/>
          <w:sz w:val="24"/>
          <w:szCs w:val="24"/>
          <w:shd w:val="clear" w:color="auto" w:fill="FFFFFF"/>
        </w:rPr>
        <w:instrText>ADDIN CSL_CITATION { "citationItems" : [ { "id" : "ITEM-1", "itemData" : { "DOI" : "10.1016/j.bandl.2005.06.001", "ISBN" : "0093-934X (Print)", "ISSN" : "0093934X", "PMID" : "16040108", "abstract" : "This paper describes a neural model of speech acquisition and production that accounts for a wide range of acoustic, kinematic, and neuroimaging data concerning the control of speech movements. The model is a neural network whose components correspond to regions of the cerebral cortex and cerebellum, including premotor, motor, auditory, and somatosensory cortical areas. Computer simulations of the model verify its ability to account for compensation to lip and jaw perturbations during speech. Specific anatomical locations of the model's components are estimated, and these estimates are used to simulate fMRI experiments of simple syllable production. \u00a9 2005 Elsevier Inc. All rights reserved.", "author" : [ { "dropping-particle" : "", "family" : "Guenther", "given" : "Frank H.", "non-dropping-particle" : "", "parse-names" : false, "suffix" : "" }, { "dropping-particle" : "", "family" : "Ghosh", "given" : "Satrajit S.", "non-dropping-particle" : "", "parse-names" : false, "suffix" : "" }, { "dropping-particle" : "", "family" : "Tourville", "given" : "Jason A.", "non-dropping-particle" : "", "parse-names" : false, "suffix" : "" } ], "container-title" : "Brain and Language", "id" : "ITEM-1", "issue" : "3", "issued" : { "date-parts" : [ [ "2006" ] ] }, "note" : "0093-934X (Print)\nJournal Article\nResearch Support, N.I.H., Extramural", "page" : "280-301", "title" : "Neural modeling and imaging of the cortical interactions underlying syllable production", "type" : "article-journal", "volume" : "96" }, "uris" : [ "http://www.mendeley.com/documents/?uuid=1443d5f7-68a6-4c6a-92cc-7009dcbaa7e0" ] }, { "id" : "ITEM-2", "itemData" : { "ISBN" : "0093-934X", "abstract" : "We present a computational model that learns a Coupling between motor parameters and their sensory consequences in vocal production during a babbling phase. Based on the Coupling, preferred motor parameters and prototypically perceived sounds develop concurrently. Exposure to an ambient language modifies perception to coincide with the Sounds from the language. The model develops motor mirror neurons that are active when an external sound is perceived. An extension to visual mirror neurons for oral gestures is suggested. (C) 2003 Elsevier Inc. All rights reserved.", "author" : [ { "dropping-particle" : "", "family" : "Westermann", "given" : "Gert", "non-dropping-particle" : "", "parse-names" : false, "suffix" : "" }, { "dropping-particle" : "", "family" : "Miranda", "given" : "Eduardo Reck", "non-dropping-particle" : "", "parse-names" : false, "suffix" : "" } ], "container-title" : "Brain and Language", "id" : "ITEM-2", "issue" : "2", "issued" : { "date-parts" : [ [ "2004" ] ] }, "language" : "English", "note" : "813ZK\nTimes Cited:10\nCited References Count:30", "page" : "393-400", "title" : "A New Model of Sesorimotor Coupling in the Development of Speech", "type" : "article-journal", "volume" : "89" }, "uris" : [ "http://www.mendeley.com/documents/?uuid=217b1f9d-9d1e-49d3-92e1-776f3b9cb55b" ] } ], "mendeley" : { "formattedCitation" : "(Guenther et al., 2006; Westermann and Miranda, 2004)", "manualFormatting" : "(e.g., Guenther et al., 2006; Westermann and Miranda, 2004)", "plainTextFormattedCitation" : "(Guenther et al., 2006; Westermann and Miranda, 2004)", "previouslyFormattedCitation" : "(Guenther et al., 2006; Westermann and Miranda, 2004)" }, "properties" : {  }, "schema" : "https://github.com/citation-style-language/schema/raw/master/csl-citation.json" }</w:instrText>
      </w:r>
      <w:r w:rsidR="0029361B" w:rsidRPr="007C17A6">
        <w:rPr>
          <w:rFonts w:ascii="Times New Roman" w:hAnsi="Times New Roman" w:cs="Times New Roman"/>
          <w:iCs/>
          <w:color w:val="auto"/>
          <w:sz w:val="24"/>
          <w:szCs w:val="24"/>
          <w:shd w:val="clear" w:color="auto" w:fill="FFFFFF"/>
        </w:rPr>
        <w:fldChar w:fldCharType="separate"/>
      </w:r>
      <w:r w:rsidR="0029361B" w:rsidRPr="007C17A6">
        <w:rPr>
          <w:rFonts w:ascii="Times New Roman" w:hAnsi="Times New Roman" w:cs="Times New Roman"/>
          <w:iCs/>
          <w:noProof/>
          <w:color w:val="auto"/>
          <w:sz w:val="24"/>
          <w:szCs w:val="24"/>
          <w:shd w:val="clear" w:color="auto" w:fill="FFFFFF"/>
        </w:rPr>
        <w:t xml:space="preserve">(e.g., </w:t>
      </w:r>
      <w:bookmarkStart w:id="121" w:name="OLE_LINK2"/>
      <w:bookmarkStart w:id="122" w:name="OLE_LINK3"/>
      <w:r w:rsidR="0029361B" w:rsidRPr="007C17A6">
        <w:rPr>
          <w:rFonts w:ascii="Times New Roman" w:hAnsi="Times New Roman" w:cs="Times New Roman"/>
          <w:iCs/>
          <w:noProof/>
          <w:color w:val="auto"/>
          <w:sz w:val="24"/>
          <w:szCs w:val="24"/>
          <w:shd w:val="clear" w:color="auto" w:fill="FFFFFF"/>
        </w:rPr>
        <w:t>Guenther et al., 2006</w:t>
      </w:r>
      <w:bookmarkEnd w:id="121"/>
      <w:bookmarkEnd w:id="122"/>
      <w:r w:rsidR="0029361B" w:rsidRPr="007C17A6">
        <w:rPr>
          <w:rFonts w:ascii="Times New Roman" w:hAnsi="Times New Roman" w:cs="Times New Roman"/>
          <w:iCs/>
          <w:noProof/>
          <w:color w:val="auto"/>
          <w:sz w:val="24"/>
          <w:szCs w:val="24"/>
          <w:shd w:val="clear" w:color="auto" w:fill="FFFFFF"/>
        </w:rPr>
        <w:t>; Westermann and Miranda, 2004)</w:t>
      </w:r>
      <w:r w:rsidR="0029361B" w:rsidRPr="007C17A6">
        <w:rPr>
          <w:rFonts w:ascii="Times New Roman" w:hAnsi="Times New Roman" w:cs="Times New Roman"/>
          <w:iCs/>
          <w:color w:val="auto"/>
          <w:sz w:val="24"/>
          <w:szCs w:val="24"/>
          <w:shd w:val="clear" w:color="auto" w:fill="FFFFFF"/>
        </w:rPr>
        <w:fldChar w:fldCharType="end"/>
      </w:r>
      <w:r w:rsidR="0029361B" w:rsidRPr="007C17A6">
        <w:rPr>
          <w:rFonts w:ascii="Times New Roman" w:hAnsi="Times New Roman" w:cs="Times New Roman"/>
          <w:iCs/>
          <w:color w:val="auto"/>
          <w:sz w:val="24"/>
          <w:szCs w:val="24"/>
          <w:shd w:val="clear" w:color="auto" w:fill="FFFFFF"/>
        </w:rPr>
        <w:t>, although these previous works did not attempt to model semantic processes (i.e., word meaning acquisition).</w:t>
      </w:r>
    </w:p>
    <w:p w14:paraId="7627CCE9" w14:textId="77777777" w:rsidR="00E740D6" w:rsidRPr="007C17A6" w:rsidRDefault="00E740D6" w:rsidP="00E740D6">
      <w:pPr>
        <w:spacing w:before="120" w:after="120" w:line="240" w:lineRule="auto"/>
        <w:ind w:firstLine="288"/>
        <w:contextualSpacing/>
        <w:jc w:val="both"/>
        <w:rPr>
          <w:rFonts w:ascii="Times New Roman" w:hAnsi="Times New Roman" w:cs="Times New Roman"/>
          <w:sz w:val="24"/>
          <w:szCs w:val="24"/>
          <w:lang w:val="en-GB"/>
        </w:rPr>
      </w:pPr>
    </w:p>
    <w:p w14:paraId="395C9669" w14:textId="20CB6565" w:rsidR="00A838DC" w:rsidRPr="007C17A6" w:rsidRDefault="00E5421A" w:rsidP="0077421C">
      <w:pPr>
        <w:spacing w:before="120" w:after="120" w:line="240" w:lineRule="auto"/>
        <w:contextualSpacing/>
        <w:jc w:val="both"/>
        <w:rPr>
          <w:rFonts w:ascii="Times New Roman" w:hAnsi="Times New Roman" w:cs="Times New Roman"/>
          <w:sz w:val="24"/>
          <w:szCs w:val="24"/>
          <w:lang w:val="en-GB"/>
        </w:rPr>
      </w:pPr>
      <w:r w:rsidRPr="007C17A6">
        <w:rPr>
          <w:rFonts w:ascii="Times New Roman" w:hAnsi="Times New Roman" w:cs="Times New Roman"/>
          <w:sz w:val="24"/>
          <w:szCs w:val="24"/>
          <w:lang w:val="en-GB"/>
        </w:rPr>
        <w:t xml:space="preserve">Sensorimotor </w:t>
      </w:r>
      <w:r w:rsidR="00F2295C" w:rsidRPr="007C17A6">
        <w:rPr>
          <w:rFonts w:ascii="Times New Roman" w:hAnsi="Times New Roman" w:cs="Times New Roman"/>
          <w:sz w:val="24"/>
          <w:szCs w:val="24"/>
          <w:lang w:val="en-GB"/>
        </w:rPr>
        <w:t xml:space="preserve">neural </w:t>
      </w:r>
      <w:r w:rsidRPr="007C17A6">
        <w:rPr>
          <w:rFonts w:ascii="Times New Roman" w:hAnsi="Times New Roman" w:cs="Times New Roman"/>
          <w:sz w:val="24"/>
          <w:szCs w:val="24"/>
          <w:lang w:val="en-GB"/>
        </w:rPr>
        <w:t xml:space="preserve">patterns in the </w:t>
      </w:r>
      <w:r w:rsidR="00F2295C" w:rsidRPr="007C17A6">
        <w:rPr>
          <w:rFonts w:ascii="Times New Roman" w:hAnsi="Times New Roman" w:cs="Times New Roman"/>
          <w:sz w:val="24"/>
          <w:szCs w:val="24"/>
          <w:lang w:val="en-GB"/>
        </w:rPr>
        <w:t>arrangement</w:t>
      </w:r>
      <w:r w:rsidRPr="007C17A6">
        <w:rPr>
          <w:rFonts w:ascii="Times New Roman" w:hAnsi="Times New Roman" w:cs="Times New Roman"/>
          <w:sz w:val="24"/>
          <w:szCs w:val="24"/>
          <w:lang w:val="en-GB"/>
        </w:rPr>
        <w:t xml:space="preserve"> of 3 x 19 cells, were presented </w:t>
      </w:r>
      <w:r w:rsidR="00F2295C" w:rsidRPr="007C17A6">
        <w:rPr>
          <w:rFonts w:ascii="Times New Roman" w:hAnsi="Times New Roman" w:cs="Times New Roman"/>
          <w:sz w:val="24"/>
          <w:szCs w:val="24"/>
          <w:lang w:val="en-GB"/>
        </w:rPr>
        <w:t xml:space="preserve">for 3000 times </w:t>
      </w:r>
      <w:r w:rsidRPr="007C17A6">
        <w:rPr>
          <w:rFonts w:ascii="Times New Roman" w:hAnsi="Times New Roman" w:cs="Times New Roman"/>
          <w:sz w:val="24"/>
          <w:szCs w:val="24"/>
          <w:lang w:val="en-GB"/>
        </w:rPr>
        <w:t xml:space="preserve">to the relevant primary </w:t>
      </w:r>
      <w:r w:rsidR="00F2295C" w:rsidRPr="007C17A6">
        <w:rPr>
          <w:rFonts w:ascii="Times New Roman" w:hAnsi="Times New Roman" w:cs="Times New Roman"/>
          <w:sz w:val="24"/>
          <w:szCs w:val="24"/>
          <w:lang w:val="en-GB"/>
        </w:rPr>
        <w:t>regions</w:t>
      </w:r>
      <w:r w:rsidRPr="007C17A6">
        <w:rPr>
          <w:rFonts w:ascii="Times New Roman" w:hAnsi="Times New Roman" w:cs="Times New Roman"/>
          <w:sz w:val="24"/>
          <w:szCs w:val="24"/>
          <w:lang w:val="en-GB"/>
        </w:rPr>
        <w:t xml:space="preserve"> (this number was chosen on the basis of previous simulations obtained with a six area model, showing that no substantial change between 1000 and 2000 learning steps </w:t>
      </w:r>
      <w:r w:rsidRPr="007C17A6">
        <w:rPr>
          <w:rFonts w:ascii="Times New Roman" w:hAnsi="Times New Roman" w:cs="Times New Roman"/>
          <w:noProof/>
          <w:sz w:val="24"/>
          <w:szCs w:val="24"/>
          <w:lang w:val="en-GB"/>
        </w:rPr>
        <w:t>was revealed</w:t>
      </w:r>
      <w:r w:rsidRPr="007C17A6">
        <w:rPr>
          <w:rFonts w:ascii="Times New Roman" w:hAnsi="Times New Roman" w:cs="Times New Roman"/>
          <w:sz w:val="24"/>
          <w:szCs w:val="24"/>
          <w:lang w:val="en-GB"/>
        </w:rPr>
        <w:t xml:space="preserve">,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"10.1523/JNEUROSCI.2693-16.2017", "author" : [ { "dropping-particle" : "", "family" : "Schomers", "given" : "Malte R", "non-dropping-particle" : "", "parse-names" : false, "suffix" : "" }, { "dropping-particle" : "", "family" : "Garagnani", "given" : "Max", "non-dropping-particle" : "", "parse-names" : false, "suffix" : "" }, { "dropping-particle" : "", "family" : "Pulverm\u00fcller", "given" : "Friedemann", "non-dropping-particle" : "", "parse-names" : false, "suffix" : "" } ], "container-title" : "Journal of Neuroscience", "id" : "ITEM-1", "issue" : "11", "issued" : { "date-parts" : [ [ "2017" ] ] }, "page" : "3045-3055", "title" : "Neurocomputational Consequences of Evolutionary Connectivity Changes in Perisylvian Language Cortex", "type" : "article-journal", "volume" : "37" }, "uris" : [ "http://www.mendeley.com/documents/?uuid=24492328-a7f0-4f9c-866e-96cd3f40bd12" ] }, { "id" : "ITEM-2", "itemData" : { "DOI" : "10.1007/s12559-009-9011-1", "ISBN" : "1866-9964 (Electronic)", "ISSN" : "18669956", "PMID" : "20396612", "abstract" : "Current cognitive theories postulate either localist representations of knowledge or fully overlapping, distributed ones. We use a connectionist model that closely replicates known anatomical properties of the cerebral cortex and neurophysiological principles to show that Hebbian learning in a multi-layer neural network leads to memory traces (cell assemblies) that are both distributed and anatomically distinct. Taking the example of word learning based on action-perception correlation, we document mechanisms underlying the emergence of these assemblies, especially (i) the recruitment of neurons and consolidation of connections defining the kernel of the assembly along with (ii) the pruning of the cell assembly's halo (consisting of very weakly connected cells). We found that, whereas a learning rule mapping covariance led to significant overlap and merging of assemblies, a neurobiologically grounded synaptic plasticity rule with fixed LTP/LTD thresholds produced minimal overlap and prevented merging, exhibiting competitive learning behaviour. Our results are discussed in light of current theories of language and memory. As simulations with neurobiologically realistic neural networks demonstrate here spontaneous emergence of lexical representations that are both cortically dispersed and anatomically distinct, both localist and distributed cognitive accounts receive partial support.", "author"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"Cognitive Computation", "id" : "ITEM-2", "issue" : "2", "issued" : { "date-parts" : [ [ "2009" ] ] }, "page" : "160-176", "title" : "Recruitment and consolidation of cell assemblies for words by way of hebbian learning and competition in a multi-layer neural network", "type" : "article-journal", "volume" : "1" }, "uris" : [ "http://www.mendeley.com/documents/?uuid=add69180-5245-4006-8ac0-b0b07fab57ad" ] } ], "mendeley" : { "formattedCitation" : "(Garagnani et al., 2009; Schomers et al., 2017)", "plainTextFormattedCitation" : "(Garagnani et al., 2009; Schomers et al., 2017)", "previouslyFormattedCitation" : "(Garagnani et al., 2009; Schomers et al., 2017)" }, "properties" : {  }, "schema" : "https://github.com/citation-style-language/schema/raw/master/csl-citation.json" }</w:instrText>
      </w:r>
      <w:r w:rsidRPr="007C17A6">
        <w:rPr>
          <w:rFonts w:ascii="Times New Roman" w:hAnsi="Times New Roman" w:cs="Times New Roman"/>
        </w:rPr>
        <w:fldChar w:fldCharType="separate"/>
      </w:r>
      <w:bookmarkStart w:id="123" w:name="__Fieldmark__1293_1687356023"/>
      <w:bookmarkStart w:id="124" w:name="__Fieldmark__1469_531023477"/>
      <w:bookmarkStart w:id="125" w:name="__Fieldmark__1180_2073936654"/>
      <w:r w:rsidR="00C00A10" w:rsidRPr="007C17A6">
        <w:rPr>
          <w:rFonts w:ascii="Times New Roman" w:hAnsi="Times New Roman" w:cs="Times New Roman"/>
          <w:noProof/>
          <w:sz w:val="24"/>
          <w:szCs w:val="24"/>
          <w:lang w:val="en-GB"/>
        </w:rPr>
        <w:t>(Garagnani et al., 2009; Schomers et al., 2017)</w:t>
      </w:r>
      <w:r w:rsidRPr="007C17A6">
        <w:rPr>
          <w:rFonts w:ascii="Times New Roman" w:hAnsi="Times New Roman" w:cs="Times New Roman"/>
        </w:rPr>
        <w:fldChar w:fldCharType="end"/>
      </w:r>
      <w:bookmarkEnd w:id="123"/>
      <w:bookmarkEnd w:id="124"/>
      <w:bookmarkEnd w:id="125"/>
      <w:r w:rsidRPr="007C17A6">
        <w:rPr>
          <w:rFonts w:ascii="Times New Roman" w:hAnsi="Times New Roman" w:cs="Times New Roman"/>
          <w:sz w:val="24"/>
          <w:szCs w:val="24"/>
        </w:rPr>
        <w:t xml:space="preserve">. </w:t>
      </w:r>
      <w:r w:rsidRPr="007C17A6">
        <w:rPr>
          <w:rFonts w:ascii="Times New Roman" w:hAnsi="Times New Roman" w:cs="Times New Roman"/>
          <w:sz w:val="24"/>
          <w:szCs w:val="24"/>
          <w:lang w:val="en-GB"/>
        </w:rPr>
        <w:t>A word pattern was presented for 16 simulation time steps, followed by a period during which no input (</w:t>
      </w:r>
      <w:proofErr w:type="spellStart"/>
      <w:r w:rsidRPr="007C17A6">
        <w:rPr>
          <w:rFonts w:ascii="Times New Roman" w:hAnsi="Times New Roman" w:cs="Times New Roman"/>
          <w:noProof/>
          <w:sz w:val="24"/>
          <w:szCs w:val="24"/>
          <w:lang w:val="en-GB"/>
        </w:rPr>
        <w:t>interstimulus</w:t>
      </w:r>
      <w:proofErr w:type="spellEnd"/>
      <w:r w:rsidRPr="007C17A6">
        <w:rPr>
          <w:rFonts w:ascii="Times New Roman" w:hAnsi="Times New Roman" w:cs="Times New Roman"/>
          <w:sz w:val="24"/>
          <w:szCs w:val="24"/>
          <w:lang w:val="en-GB"/>
        </w:rPr>
        <w:t xml:space="preserve"> interval – ISI) </w:t>
      </w:r>
      <w:r w:rsidRPr="007C17A6">
        <w:rPr>
          <w:rFonts w:ascii="Times New Roman" w:hAnsi="Times New Roman" w:cs="Times New Roman"/>
          <w:noProof/>
          <w:sz w:val="24"/>
          <w:szCs w:val="24"/>
          <w:lang w:val="en-GB"/>
        </w:rPr>
        <w:t>was given</w:t>
      </w:r>
      <w:r w:rsidRPr="007C17A6">
        <w:rPr>
          <w:rFonts w:ascii="Times New Roman" w:hAnsi="Times New Roman" w:cs="Times New Roman"/>
          <w:sz w:val="24"/>
          <w:szCs w:val="24"/>
          <w:lang w:val="en-GB"/>
        </w:rPr>
        <w:t xml:space="preserve">. </w:t>
      </w:r>
      <w:r w:rsidR="00F2295C" w:rsidRPr="007C17A6">
        <w:rPr>
          <w:rFonts w:ascii="Times New Roman" w:hAnsi="Times New Roman" w:cs="Times New Roman"/>
          <w:sz w:val="24"/>
          <w:szCs w:val="24"/>
          <w:lang w:val="en-GB"/>
        </w:rPr>
        <w:t xml:space="preserve">The next learning step (pattern presentation) occurred </w:t>
      </w:r>
      <w:r w:rsidR="00F2295C" w:rsidRPr="007C17A6">
        <w:rPr>
          <w:rFonts w:ascii="Times New Roman" w:hAnsi="Times New Roman" w:cs="Times New Roman"/>
          <w:noProof/>
          <w:sz w:val="24"/>
          <w:szCs w:val="24"/>
          <w:lang w:val="en-GB"/>
        </w:rPr>
        <w:t>only</w:t>
      </w:r>
      <w:r w:rsidR="00F2295C" w:rsidRPr="007C17A6">
        <w:rPr>
          <w:rFonts w:ascii="Times New Roman" w:hAnsi="Times New Roman" w:cs="Times New Roman"/>
          <w:sz w:val="24"/>
          <w:szCs w:val="24"/>
          <w:lang w:val="en-GB"/>
        </w:rPr>
        <w:t xml:space="preserve"> when </w:t>
      </w:r>
      <w:r w:rsidRPr="007C17A6">
        <w:rPr>
          <w:rFonts w:ascii="Times New Roman" w:hAnsi="Times New Roman" w:cs="Times New Roman"/>
          <w:sz w:val="24"/>
          <w:szCs w:val="24"/>
          <w:lang w:val="en-GB"/>
        </w:rPr>
        <w:t xml:space="preserve">the global inhibition of </w:t>
      </w:r>
      <w:r w:rsidRPr="007C17A6">
        <w:rPr>
          <w:rFonts w:ascii="Times New Roman" w:hAnsi="Times New Roman" w:cs="Times New Roman"/>
          <w:noProof/>
          <w:sz w:val="24"/>
          <w:szCs w:val="24"/>
          <w:lang w:val="en-GB"/>
        </w:rPr>
        <w:t>PF</w:t>
      </w:r>
      <w:r w:rsidRPr="007C17A6">
        <w:rPr>
          <w:rFonts w:ascii="Times New Roman" w:hAnsi="Times New Roman" w:cs="Times New Roman"/>
          <w:noProof/>
          <w:sz w:val="24"/>
          <w:szCs w:val="24"/>
          <w:vertAlign w:val="subscript"/>
          <w:lang w:val="en-GB"/>
        </w:rPr>
        <w:t>i</w:t>
      </w:r>
      <w:r w:rsidRPr="007C17A6">
        <w:rPr>
          <w:rFonts w:ascii="Times New Roman" w:hAnsi="Times New Roman" w:cs="Times New Roman"/>
          <w:sz w:val="24"/>
          <w:szCs w:val="24"/>
          <w:lang w:val="en-GB"/>
        </w:rPr>
        <w:t xml:space="preserve"> and PB areas </w:t>
      </w:r>
      <w:r w:rsidR="00F2295C" w:rsidRPr="007C17A6">
        <w:rPr>
          <w:rFonts w:ascii="Times New Roman" w:hAnsi="Times New Roman" w:cs="Times New Roman"/>
          <w:sz w:val="24"/>
          <w:szCs w:val="24"/>
          <w:lang w:val="en-GB"/>
        </w:rPr>
        <w:t>reduced</w:t>
      </w:r>
      <w:r w:rsidRPr="007C17A6">
        <w:rPr>
          <w:rFonts w:ascii="Times New Roman" w:hAnsi="Times New Roman" w:cs="Times New Roman"/>
          <w:sz w:val="24"/>
          <w:szCs w:val="24"/>
          <w:lang w:val="en-GB"/>
        </w:rPr>
        <w:t xml:space="preserve"> b</w:t>
      </w:r>
      <w:r w:rsidR="00F2295C" w:rsidRPr="007C17A6">
        <w:rPr>
          <w:rFonts w:ascii="Times New Roman" w:hAnsi="Times New Roman" w:cs="Times New Roman"/>
          <w:sz w:val="24"/>
          <w:szCs w:val="24"/>
          <w:lang w:val="en-GB"/>
        </w:rPr>
        <w:t>elow a specific fixed threshold allowing</w:t>
      </w:r>
      <w:r w:rsidRPr="007C17A6">
        <w:rPr>
          <w:rFonts w:ascii="Times New Roman" w:hAnsi="Times New Roman" w:cs="Times New Roman"/>
          <w:sz w:val="24"/>
          <w:szCs w:val="24"/>
          <w:lang w:val="en-GB"/>
        </w:rPr>
        <w:t xml:space="preserve"> the activity to return to a baseline </w:t>
      </w:r>
      <w:r w:rsidRPr="007C17A6">
        <w:rPr>
          <w:rFonts w:ascii="Times New Roman" w:hAnsi="Times New Roman" w:cs="Times New Roman"/>
          <w:noProof/>
          <w:sz w:val="24"/>
          <w:szCs w:val="24"/>
          <w:lang w:val="en-GB"/>
        </w:rPr>
        <w:t>value</w:t>
      </w:r>
      <w:r w:rsidRPr="007C17A6">
        <w:rPr>
          <w:rFonts w:ascii="Times New Roman" w:hAnsi="Times New Roman" w:cs="Times New Roman"/>
          <w:sz w:val="24"/>
          <w:szCs w:val="24"/>
          <w:lang w:val="en-GB"/>
        </w:rPr>
        <w:t xml:space="preserve"> </w:t>
      </w:r>
      <w:r w:rsidRPr="007C17A6">
        <w:rPr>
          <w:rFonts w:ascii="Times New Roman" w:hAnsi="Times New Roman" w:cs="Times New Roman"/>
          <w:noProof/>
          <w:sz w:val="24"/>
          <w:szCs w:val="24"/>
          <w:lang w:val="en-GB"/>
        </w:rPr>
        <w:t xml:space="preserve">so </w:t>
      </w:r>
      <w:r w:rsidR="00F2295C" w:rsidRPr="007C17A6">
        <w:rPr>
          <w:rFonts w:ascii="Times New Roman" w:hAnsi="Times New Roman" w:cs="Times New Roman"/>
          <w:noProof/>
          <w:sz w:val="24"/>
          <w:szCs w:val="24"/>
          <w:lang w:val="en-GB"/>
        </w:rPr>
        <w:t xml:space="preserve">that </w:t>
      </w:r>
      <w:r w:rsidRPr="007C17A6">
        <w:rPr>
          <w:rFonts w:ascii="Times New Roman" w:hAnsi="Times New Roman" w:cs="Times New Roman"/>
          <w:sz w:val="24"/>
          <w:szCs w:val="24"/>
          <w:lang w:val="en-GB"/>
        </w:rPr>
        <w:t>one trial</w:t>
      </w:r>
      <w:r w:rsidR="00F2295C" w:rsidRPr="007C17A6">
        <w:rPr>
          <w:rFonts w:ascii="Times New Roman" w:hAnsi="Times New Roman" w:cs="Times New Roman"/>
          <w:sz w:val="24"/>
          <w:szCs w:val="24"/>
          <w:lang w:val="en-GB"/>
        </w:rPr>
        <w:t xml:space="preserve"> is not</w:t>
      </w:r>
      <w:r w:rsidRPr="007C17A6">
        <w:rPr>
          <w:rFonts w:ascii="Times New Roman" w:hAnsi="Times New Roman" w:cs="Times New Roman"/>
          <w:sz w:val="24"/>
          <w:szCs w:val="24"/>
          <w:lang w:val="en-GB"/>
        </w:rPr>
        <w:t xml:space="preserve"> affecting the next one. Only the inherent baseline noise (simulating spontaneous neuronal firing) and “contextual” noi</w:t>
      </w:r>
      <w:r w:rsidR="00D54BE4" w:rsidRPr="007C17A6">
        <w:rPr>
          <w:rFonts w:ascii="Times New Roman" w:hAnsi="Times New Roman" w:cs="Times New Roman"/>
          <w:sz w:val="24"/>
          <w:szCs w:val="24"/>
          <w:lang w:val="en-GB"/>
        </w:rPr>
        <w:t xml:space="preserve">se were present in the neural </w:t>
      </w:r>
      <w:r w:rsidRPr="007C17A6">
        <w:rPr>
          <w:rFonts w:ascii="Times New Roman" w:hAnsi="Times New Roman" w:cs="Times New Roman"/>
          <w:sz w:val="24"/>
          <w:szCs w:val="24"/>
          <w:lang w:val="en-GB"/>
        </w:rPr>
        <w:t xml:space="preserve">network during each ISI. </w:t>
      </w:r>
    </w:p>
    <w:p w14:paraId="3FB4B5B6" w14:textId="77777777" w:rsidR="00E740D6" w:rsidRPr="007C17A6" w:rsidRDefault="00E740D6" w:rsidP="00E740D6">
      <w:pPr>
        <w:spacing w:before="120" w:after="120" w:line="240" w:lineRule="auto"/>
        <w:ind w:firstLine="288"/>
        <w:contextualSpacing/>
        <w:jc w:val="both"/>
        <w:rPr>
          <w:rFonts w:ascii="Times New Roman" w:hAnsi="Times New Roman" w:cs="Times New Roman"/>
        </w:rPr>
      </w:pPr>
    </w:p>
    <w:p w14:paraId="30030406" w14:textId="7E420044" w:rsidR="00A838DC" w:rsidRPr="007C17A6" w:rsidRDefault="00E5421A" w:rsidP="0077421C">
      <w:pPr>
        <w:spacing w:line="240" w:lineRule="auto"/>
        <w:contextualSpacing/>
        <w:jc w:val="both"/>
        <w:rPr>
          <w:rFonts w:ascii="Times New Roman" w:hAnsi="Times New Roman" w:cs="Times New Roman"/>
          <w:sz w:val="24"/>
          <w:szCs w:val="24"/>
          <w:lang w:val="en-GB"/>
        </w:rPr>
      </w:pPr>
      <w:r w:rsidRPr="007C17A6">
        <w:rPr>
          <w:rFonts w:ascii="Times New Roman" w:hAnsi="Times New Roman" w:cs="Times New Roman"/>
          <w:sz w:val="24"/>
          <w:szCs w:val="24"/>
        </w:rPr>
        <w:t>A</w:t>
      </w:r>
      <w:proofErr w:type="spellStart"/>
      <w:r w:rsidRPr="007C17A6">
        <w:rPr>
          <w:rFonts w:ascii="Times New Roman" w:hAnsi="Times New Roman" w:cs="Times New Roman"/>
          <w:sz w:val="24"/>
          <w:szCs w:val="24"/>
          <w:lang w:val="en-GB"/>
        </w:rPr>
        <w:t>fter</w:t>
      </w:r>
      <w:proofErr w:type="spellEnd"/>
      <w:r w:rsidRPr="007C17A6">
        <w:rPr>
          <w:rFonts w:ascii="Times New Roman" w:hAnsi="Times New Roman" w:cs="Times New Roman"/>
          <w:sz w:val="24"/>
          <w:szCs w:val="24"/>
          <w:lang w:val="en-GB"/>
        </w:rPr>
        <w:t xml:space="preserve"> learning, following a procedure which has become standard in our simulation studies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"10.1111/ejn.13145", "ISSN" : "14609568", "PMID" : "26660067", "abstract" : "Current neurobiological accounts of language and cognition offer diverging views on the questions of \u2018where\u2019 and \u2018how\u2019 semantic information is stored and processed in the human brain. Neuroimaging data showing consistent activation of different multi-modal areas during word and sentence comprehension suggest that all meanings are processed indistinctively, by a set of general semantic centres or \u2018hubs\u2019. However, words belonging to specific semantic categories selectively activate modality-preferential areas; for example, action-related words spark activity in dorsal motor cortex, whereas object-related ones activate ventral visual areas. The evidence for category-specific and category-general semantic areas begs for a unifying explanation, able to integrate the emergence of both. Here, a neurobiological model offering such an explanation is described. Using a neural architecture replicating anatomical and neurophysiological features of frontal, occipital and temporal cortices, basic aspects of word learning and semantic grounding in action and perception were simulated. As the network underwent training, distributed lexico-semantic circuits spontaneously emerged. These circuits exhibited different cortical distributions that reached into dorsal-motor or ventral-visual areas, reflecting the correlated category-specific sensorimotor patterns that co-occurred during action- or object-related semantic grounding, respectively. Crucially, substantial numbers of neurons of both types of distributed circuits emerged in areas interfacing between modality-preferential regions, i.e. in multimodal connection hubs, which therefore became loci of general semantic binding. By relating neuroanatomical structure and cellular-level learning mechanisms with system-level cognitive function, this model offers a neurobiological account of category-general and category-specific semantic areas based on the different cortical distributions of the underlying semantic circuits.", "author" : [ { "dropping-particle" : "", "family" : "Garagnani", "given" : "Max", "non-dropping-particle" : "", "parse-names" : false, "suffix" : "" }, { "dropping-particle" : "", "family" : "Pulverm\u00fcller", "given" : "Friedemann", "non-dropping-particle" : "", "parse-names" : false, "suffix" : "" } ], "container-title" : "European Journal of Neuroscience", "id" : "ITEM-1", "issue" : "6", "issued" : { "date-parts" : [ [ "2016" ] ] }, "page" : "721-737", "title" : "Conceptual grounding of language in action and perception: A neurocomputational model of the emergence of category specificity and semantic hubs", "type" : "article-journal", "volume" : "43" }, "uris" : [ "http://www.mendeley.com/documents/?uuid=a62ced76-f824-4d5c-b637-089f298a93a8" ] }, { "id" : "ITEM-2", "itemData" : { "DOI" : "http://doi.org/10.1016/j.neuropsychologia.2016.07.004.", "ISSN" : "0028-3932", "abstract" : "Neuroimaging and patient studies show that different areas of cortex respectively specialize for general and selective, or category-specific, semantic processing. Why are there both semantic hubs and category-specificity, and how come that they emerge in different cortical regions? Can the activation time-course of these areas be predicted and explained by brain-like network models? In this present work, we extend a neurocomputational model of human cortical function to simulate the time-course of cortical processes of understanding meaningful concrete words. The model implements frontal and temporal cortical areas for language, perception, and action along with their connectivity. It uses Hebbian learning to semantically ground words in aspects of their referential object- and action-related meaning. Compared with earlier proposals, the present model incorporates additional neuroanatomical links supported by connectivity studies and downscaled synaptic weights in order to control for functional between-area differences purely due to the number of in- or output links of an area. We show that learning of semantic relationships between words and the objects and actions these symbols are used to speak about, leads to the formation of distributed circuits, which all include neuronal material in connector hub areas bridging between sensory and motor cortical systems. Therefore, these connector hub areas acquire a role as semantic hubs. By differentially reaching into motor or visual areas, the cortical distributions of the emergent 'semantic circuits' reflect aspects of the represented symbols' meaning, thus explaining category-specificity. The improved connectivity structure of our model entails a degree of category-specificity even in the 'semantic hubs' of the model. The relative time-course of activation of these areas is typically fast and near-simultaneous, with semantic hubs central to the network structure activating before modality-preferential areas carrying semantic information.", "author" : [ { "dropping-particle" : "", "family" : "Tomasello", "given" : "Rosario", "non-dropping-particle" : "", "parse-names" : false, "suffix" :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"Neuropsychologia", "id" : "ITEM-2", "issue" : "April", "issued" : { "date-parts" : [ [ "2017" ] ] }, "page" : "111-129", "title" : "Brain connections of words, perceptions and actions: A neurobiological model of spatio-temporal semantic activation in the human cortex", "type" : "article-journal", "volume" : "98" }, "uris" : [ "http://www.mendeley.com/documents/?uuid=d40add22-d615-41bc-8a72-daad31f31798" ] }, { "id" : "ITEM-3", "itemData" : { "DOI" : "10.1523/JNEUROSCI.2693-16.2017", "author" : [ { "dropping-particle" : "", "family" : "Schomers", "given" : "Malte R", "non-dropping-particle" : "", "parse-names" : false, "suffix" : "" }, { "dropping-particle" : "", "family" : "Garagnani", "given" : "Max", "non-dropping-particle" : "", "parse-names" : false, "suffix" : "" }, { "dropping-particle" : "", "family" : "Pulverm\u00fcller", "given" : "Friedemann", "non-dropping-particle" : "", "parse-names" : false, "suffix" : "" } ], "container-title" : "Journal of Neuroscience", "id" : "ITEM-3", "issue" : "11", "issued" : { "date-parts" : [ [ "2017" ] ] }, "page" : "3045-3055", "title" : "Neurocomputational Consequences of Evolutionary Connectivity Changes in Perisylvian Language Cortex", "type" : "article-journal", "volume" : "37" }, "uris" : [ "http://www.mendeley.com/documents/?uuid=24492328-a7f0-4f9c-866e-96cd3f40bd12" ] }, { "id" : "ITEM-4", "itemData" : { "DOI" : "10.1111/j.1460-9568.2008.06015.x", "ISBN" : "0953-816X", "ISSN" : "0953816X", "PMID" : "18215243", "abstract" : "Meaningful familiar stimuli and senseless unknown materials lead to different patterns of brain activation. A late major neurophysiological response indexing 'sense' is the negative component of event-related potential peaking at around 400 ms (N400), an event-related potential that emerges in attention-demanding tasks and is larger for senseless materials (e.g. meaningless pseudowords) than for matched meaningful stimuli (words). However, the mismatch negativity (latency 100-250 ms), an early automatic brain response elicited under distraction, is larger to words than to pseudowords, thus exhibiting the opposite pattern to that seen for the N400. So far, no theoretical account has been able to reconcile and explain these findings by means of a single, mechanistic neural model. We implemented a neuroanatomically grounded neural network model of the left perisylvian language cortex and simulated: (i) brain processes of early language acquisition and (ii) cortical responses to familiar word and senseless pseudoword stimuli. We found that variation of the area-specific inhibition (the model correlate of attention) modulated the simulated brain response to words and pseudowords, producing either an N400- or a mismatch negativity-like response depending on the amount of inhibition (i.e. available attentional resources). Our model: (i) provides a unifying explanatory account, at cortical level, of experimental observations that, so far, had not been given a coherent interpretation within a single framework; (ii) demonstrates the viability of purely Hebbian, associative learning in a multilayered neural network architecture; and (iii) makes clear predictions on the effects of attention on latency and magnitude of event-related potentials to lexical items. Such predictions have been confirmed by recent experimental evidence.", "author"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"European Journal of Neuroscience", "id" : "ITEM-4", "issue" : "2", "issued" : { "date-parts" : [ [ "2008", "1" ] ] }, "page" : "492-513", "title" : "A neuroanatomically grounded Hebbian-learning model of attention-language interactions in the human brain", "type" : "article-journal", "volume" : "27" }, "uris" : [ "http://www.mendeley.com/documents/?uuid=14f334ce-cd5a-41d3-9d22-fa7de6bdd740" ] }, { "id" : "ITEM-5", "itemData" : { "DOI" : "10.1016/j.neucom.2006.10.076", "ISBN" : "0925-2312", "ISSN" : "09252312", "abstract" : "We modelled language-learning processes in a brain-inspired model of the language cortex. The network consisted of neuron-like elements (graded-response units) and mimicked the neuroanatomical areas in the perisylvian language cortex and the intrinsic and mutual connections within and between them. Speaking words creates correlated activity in motor and auditory cortical systems. This correlated activity might play an important role in setting up word representations at the neuronal level [D.B. Fry, The development of the phonological system in the normal and deaf child, in: F. Smith, F.A. Miller, (Eds.), The genesis of language MIT Press, Cambridge, MA, 1966, pp. 187-206; F. Pulverm??ller, Words in the Brain's Language, Behav. Brain Sci. 22 (1999) 253-279]. We simulated this language-learning process and used the network to simulate neurophysiological brain responses to words and meaningless \"pseudowords\" as they have been documented using EEG and MEG. ?? 2006 Elsevier B.V. All rights reserved.", "author"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"Neurocomputing", "id" : "ITEM-5", "issue" : "10-12", "issued" : { "date-parts" : [ [ "2007", "6" ] ] }, "page" : "1914-1919", "title" : "A neuronal model of the language cortex", "type" : "article-journal", "volume" : "70" }, "uris" : [ "http://www.mendeley.com/documents/?uuid=bb008c16-ae8d-4831-89b1-39a4097a618f" ] } ], "mendeley" : { "formattedCitation" : "(Garagnani et al., 2008, 2007; Garagnani and Pulverm\u00fcller, 2016; Schomers et al., 2017; Tomasello et al., 2017)", "plainTextFormattedCitation" : "(Garagnani et al., 2008, 2007; Garagnani and Pulverm\u00fcller, 2016; Schomers et al., 2017; Tomasello et al., 2017)", "previouslyFormattedCitation" : "(Garagnani et al., 2008, 2007; Garagnani and Pulverm\u00fcller, 2016; Schomers et al., 2017; Tomasello et al., 2017)" }, "properties" : {  }, "schema" : "https://github.com/citation-style-language/schema/raw/master/csl-citation.json" }</w:instrText>
      </w:r>
      <w:r w:rsidRPr="007C17A6">
        <w:rPr>
          <w:rFonts w:ascii="Times New Roman" w:hAnsi="Times New Roman" w:cs="Times New Roman"/>
        </w:rPr>
        <w:fldChar w:fldCharType="separate"/>
      </w:r>
      <w:bookmarkStart w:id="126" w:name="__Fieldmark__1312_1687356023"/>
      <w:bookmarkStart w:id="127" w:name="__Fieldmark__1504_531023477"/>
      <w:bookmarkStart w:id="128" w:name="__Fieldmark__1194_2073936654"/>
      <w:r w:rsidR="0029361B" w:rsidRPr="007C17A6">
        <w:rPr>
          <w:rFonts w:ascii="Times New Roman" w:hAnsi="Times New Roman" w:cs="Times New Roman"/>
          <w:noProof/>
          <w:sz w:val="24"/>
          <w:szCs w:val="24"/>
          <w:lang w:val="en-GB"/>
        </w:rPr>
        <w:t>(Garagnani et al., 2008, 2007; Garagnani and Pulvermüller, 2016; Schomers et al., 2017; Tomasello et al., 2017)</w:t>
      </w:r>
      <w:r w:rsidRPr="007C17A6">
        <w:rPr>
          <w:rFonts w:ascii="Times New Roman" w:hAnsi="Times New Roman" w:cs="Times New Roman"/>
        </w:rPr>
        <w:fldChar w:fldCharType="end"/>
      </w:r>
      <w:bookmarkEnd w:id="126"/>
      <w:bookmarkEnd w:id="127"/>
      <w:bookmarkEnd w:id="128"/>
      <w:r w:rsidRPr="007C17A6">
        <w:rPr>
          <w:rFonts w:ascii="Times New Roman" w:hAnsi="Times New Roman" w:cs="Times New Roman"/>
          <w:sz w:val="24"/>
          <w:szCs w:val="24"/>
          <w:lang w:val="en-GB"/>
        </w:rPr>
        <w:t xml:space="preserve">, we identified and quantified the neurons forming the 12 distributed CA circuits that emerged across the network areas during object and action word production. For simulating ‘word production’ in the network, the motor and auditory neurons of each word form in areas M1 and A1 were activated together for </w:t>
      </w:r>
      <w:r w:rsidRPr="007C17A6">
        <w:rPr>
          <w:rFonts w:ascii="Times New Roman" w:hAnsi="Times New Roman" w:cs="Times New Roman"/>
          <w:noProof/>
          <w:sz w:val="24"/>
          <w:szCs w:val="24"/>
          <w:lang w:val="en-GB"/>
        </w:rPr>
        <w:t>15 time</w:t>
      </w:r>
      <w:r w:rsidR="00D905DF" w:rsidRPr="007C17A6">
        <w:rPr>
          <w:rFonts w:ascii="Times New Roman" w:hAnsi="Times New Roman" w:cs="Times New Roman"/>
          <w:sz w:val="24"/>
          <w:szCs w:val="24"/>
          <w:lang w:val="en-GB"/>
        </w:rPr>
        <w:t>-</w:t>
      </w:r>
      <w:r w:rsidRPr="007C17A6">
        <w:rPr>
          <w:rFonts w:ascii="Times New Roman" w:hAnsi="Times New Roman" w:cs="Times New Roman"/>
          <w:sz w:val="24"/>
          <w:szCs w:val="24"/>
          <w:lang w:val="en-GB"/>
        </w:rPr>
        <w:t xml:space="preserve">steps. Separate analyses </w:t>
      </w:r>
      <w:r w:rsidRPr="007C17A6">
        <w:rPr>
          <w:rFonts w:ascii="Times New Roman" w:hAnsi="Times New Roman" w:cs="Times New Roman"/>
          <w:noProof/>
          <w:sz w:val="24"/>
          <w:szCs w:val="24"/>
          <w:lang w:val="en-GB"/>
        </w:rPr>
        <w:t>were performed</w:t>
      </w:r>
      <w:r w:rsidRPr="007C17A6">
        <w:rPr>
          <w:rFonts w:ascii="Times New Roman" w:hAnsi="Times New Roman" w:cs="Times New Roman"/>
          <w:sz w:val="24"/>
          <w:szCs w:val="24"/>
          <w:lang w:val="en-GB"/>
        </w:rPr>
        <w:t xml:space="preserve"> for object recognition </w:t>
      </w:r>
      <w:r w:rsidRPr="007C17A6">
        <w:rPr>
          <w:rFonts w:ascii="Times New Roman" w:hAnsi="Times New Roman" w:cs="Times New Roman"/>
          <w:noProof/>
          <w:sz w:val="24"/>
          <w:szCs w:val="24"/>
          <w:lang w:val="en-GB"/>
        </w:rPr>
        <w:t>and</w:t>
      </w:r>
      <w:r w:rsidRPr="007C17A6">
        <w:rPr>
          <w:rFonts w:ascii="Times New Roman" w:hAnsi="Times New Roman" w:cs="Times New Roman"/>
          <w:sz w:val="24"/>
          <w:szCs w:val="24"/>
          <w:lang w:val="en-GB"/>
        </w:rPr>
        <w:t xml:space="preserve"> action execution, which </w:t>
      </w:r>
      <w:r w:rsidRPr="007C17A6">
        <w:rPr>
          <w:rFonts w:ascii="Times New Roman" w:hAnsi="Times New Roman" w:cs="Times New Roman"/>
          <w:noProof/>
          <w:sz w:val="24"/>
          <w:szCs w:val="24"/>
          <w:lang w:val="en-GB"/>
        </w:rPr>
        <w:t>was simulated</w:t>
      </w:r>
      <w:r w:rsidRPr="007C17A6">
        <w:rPr>
          <w:rFonts w:ascii="Times New Roman" w:hAnsi="Times New Roman" w:cs="Times New Roman"/>
          <w:sz w:val="24"/>
          <w:szCs w:val="24"/>
          <w:lang w:val="en-GB"/>
        </w:rPr>
        <w:t xml:space="preserve"> by activating the corresponding stimulation pattern in visual or motor cortex (V1 or M1) thought to represent the object-related or action-related schemas semantically linked to the word forms. During this period, we computed and displayed the average firing rate of each excitatory cell (7500 </w:t>
      </w:r>
      <w:r w:rsidRPr="007C17A6">
        <w:rPr>
          <w:rFonts w:ascii="Times New Roman" w:hAnsi="Times New Roman" w:cs="Times New Roman"/>
          <w:i/>
          <w:sz w:val="24"/>
          <w:szCs w:val="24"/>
          <w:lang w:val="en-GB"/>
        </w:rPr>
        <w:t>e</w:t>
      </w:r>
      <w:r w:rsidRPr="007C17A6">
        <w:rPr>
          <w:rFonts w:ascii="Times New Roman" w:hAnsi="Times New Roman" w:cs="Times New Roman"/>
          <w:sz w:val="24"/>
          <w:szCs w:val="24"/>
          <w:lang w:val="en-GB"/>
        </w:rPr>
        <w:t>-cells, cell’s responses).</w:t>
      </w:r>
    </w:p>
    <w:p w14:paraId="5589FD09" w14:textId="77777777" w:rsidR="00E740D6" w:rsidRPr="007C17A6" w:rsidRDefault="00E740D6" w:rsidP="00E740D6">
      <w:pPr>
        <w:spacing w:line="240" w:lineRule="auto"/>
        <w:ind w:firstLine="288"/>
        <w:contextualSpacing/>
        <w:jc w:val="both"/>
        <w:rPr>
          <w:rFonts w:ascii="Times New Roman" w:hAnsi="Times New Roman" w:cs="Times New Roman"/>
        </w:rPr>
      </w:pPr>
    </w:p>
    <w:p w14:paraId="04E062B8" w14:textId="1250A323" w:rsidR="00E43A92" w:rsidRPr="007C17A6" w:rsidRDefault="00E43A92" w:rsidP="0077421C">
      <w:pPr>
        <w:spacing w:before="120" w:after="120" w:line="240" w:lineRule="auto"/>
        <w:contextualSpacing/>
        <w:jc w:val="both"/>
        <w:rPr>
          <w:rFonts w:ascii="Times New Roman" w:hAnsi="Times New Roman" w:cs="Times New Roman"/>
          <w:sz w:val="24"/>
          <w:szCs w:val="24"/>
          <w:lang w:val="en-GB" w:eastAsia="en-GB"/>
        </w:rPr>
      </w:pPr>
      <w:r w:rsidRPr="007C17A6">
        <w:rPr>
          <w:rFonts w:ascii="Times New Roman" w:hAnsi="Times New Roman" w:cs="Times New Roman"/>
          <w:sz w:val="24"/>
          <w:szCs w:val="24"/>
          <w:lang w:val="en-GB"/>
        </w:rPr>
        <w:t xml:space="preserve">As an estimate of a cell’s average firing-rate here we used the value </w:t>
      </w:r>
      <w:r w:rsidR="00136E73" w:rsidRPr="007C17A6">
        <w:rPr>
          <w:rFonts w:ascii="Symbol" w:eastAsia="Symbol" w:hAnsi="Symbol" w:cs="Symbol"/>
          <w:i/>
          <w:sz w:val="24"/>
          <w:szCs w:val="24"/>
          <w:lang w:val="en-GB" w:eastAsia="en-GB"/>
        </w:rPr>
        <w:t></w:t>
      </w:r>
      <w:r w:rsidR="00136E73" w:rsidRPr="007C17A6">
        <w:rPr>
          <w:i/>
          <w:sz w:val="24"/>
          <w:szCs w:val="24"/>
          <w:vertAlign w:val="subscript"/>
          <w:lang w:val="en-GB" w:eastAsia="en-GB"/>
        </w:rPr>
        <w:t>E</w:t>
      </w:r>
      <w:r w:rsidR="00136E73" w:rsidRPr="007C17A6">
        <w:rPr>
          <w:rFonts w:ascii="Times New Roman" w:hAnsi="Times New Roman" w:cs="Times New Roman"/>
          <w:sz w:val="24"/>
          <w:szCs w:val="24"/>
          <w:lang w:val="en-GB" w:eastAsia="en-GB"/>
        </w:rPr>
        <w:t>(</w:t>
      </w:r>
      <w:proofErr w:type="spellStart"/>
      <w:r w:rsidR="00136E73" w:rsidRPr="007C17A6">
        <w:rPr>
          <w:rFonts w:ascii="Times New Roman" w:hAnsi="Times New Roman" w:cs="Times New Roman"/>
          <w:i/>
          <w:sz w:val="24"/>
          <w:szCs w:val="24"/>
          <w:lang w:val="en-GB" w:eastAsia="en-GB"/>
        </w:rPr>
        <w:t>e</w:t>
      </w:r>
      <w:r w:rsidR="00136E73" w:rsidRPr="007C17A6">
        <w:rPr>
          <w:rFonts w:ascii="Times New Roman" w:hAnsi="Times New Roman" w:cs="Times New Roman"/>
          <w:sz w:val="24"/>
          <w:szCs w:val="24"/>
          <w:lang w:val="en-GB" w:eastAsia="en-GB"/>
        </w:rPr>
        <w:t>,</w:t>
      </w:r>
      <w:r w:rsidR="00136E73" w:rsidRPr="007C17A6">
        <w:rPr>
          <w:rFonts w:ascii="Times New Roman" w:hAnsi="Times New Roman" w:cs="Times New Roman"/>
          <w:i/>
          <w:sz w:val="24"/>
          <w:szCs w:val="24"/>
          <w:lang w:val="en-GB" w:eastAsia="en-GB"/>
        </w:rPr>
        <w:t>t</w:t>
      </w:r>
      <w:proofErr w:type="spellEnd"/>
      <w:r w:rsidR="00136E73" w:rsidRPr="007C17A6">
        <w:rPr>
          <w:rFonts w:ascii="Times New Roman" w:hAnsi="Times New Roman" w:cs="Times New Roman"/>
          <w:sz w:val="24"/>
          <w:szCs w:val="24"/>
          <w:lang w:val="en-GB" w:eastAsia="en-GB"/>
        </w:rPr>
        <w:t>)</w:t>
      </w:r>
      <w:r w:rsidRPr="007C17A6">
        <w:rPr>
          <w:rFonts w:ascii="Times New Roman" w:hAnsi="Times New Roman" w:cs="Times New Roman"/>
          <w:sz w:val="24"/>
          <w:szCs w:val="24"/>
          <w:lang w:val="en-GB"/>
        </w:rPr>
        <w:t xml:space="preserve"> from Eq. (B3.2), integrated with time-constant</w:t>
      </w:r>
      <w:r w:rsidR="006A346A" w:rsidRPr="007C17A6">
        <w:rPr>
          <w:rFonts w:ascii="Times New Roman" w:hAnsi="Times New Roman" w:cs="Times New Roman"/>
          <w:sz w:val="24"/>
          <w:szCs w:val="24"/>
          <w:lang w:val="en-GB"/>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Favg</m:t>
            </m:r>
          </m:sub>
        </m:sSub>
      </m:oMath>
      <w:r w:rsidRPr="007C17A6">
        <w:rPr>
          <w:rFonts w:ascii="Times New Roman" w:hAnsi="Times New Roman" w:cs="Times New Roman"/>
          <w:sz w:val="24"/>
          <w:szCs w:val="24"/>
          <w:lang w:val="en-GB"/>
        </w:rPr>
        <w:t xml:space="preserve">= 5. An </w:t>
      </w:r>
      <w:r w:rsidRPr="007C17A6">
        <w:rPr>
          <w:rFonts w:ascii="Times New Roman" w:hAnsi="Times New Roman" w:cs="Times New Roman"/>
          <w:i/>
          <w:sz w:val="24"/>
          <w:szCs w:val="24"/>
          <w:lang w:val="en-GB"/>
        </w:rPr>
        <w:t>e</w:t>
      </w:r>
      <w:r w:rsidRPr="007C17A6">
        <w:rPr>
          <w:rFonts w:ascii="Times New Roman" w:hAnsi="Times New Roman" w:cs="Times New Roman"/>
          <w:sz w:val="24"/>
          <w:szCs w:val="24"/>
          <w:lang w:val="en-GB"/>
        </w:rPr>
        <w:t>-cell was then taken to be a member of a given CA circuit only if its time-averaged rate (output value or “firing rate”) reached a threshold</w:t>
      </w:r>
      <w:r w:rsidRPr="007C17A6">
        <w:rPr>
          <w:rFonts w:ascii="Times New Roman" w:hAnsi="Times New Roman" w:cs="Times New Roman"/>
          <w:sz w:val="24"/>
          <w:szCs w:val="24"/>
          <w:lang w:val="en-GB" w:eastAsia="en-GB"/>
        </w:rPr>
        <w:t xml:space="preserve"> </w:t>
      </w:r>
      <w:r w:rsidRPr="007C17A6">
        <w:rPr>
          <w:rFonts w:ascii="Times New Roman" w:hAnsi="Times New Roman" w:cs="Times New Roman"/>
          <w:i/>
          <w:sz w:val="24"/>
          <w:szCs w:val="24"/>
          <w:lang w:val="en-GB" w:eastAsia="en-GB"/>
        </w:rPr>
        <w:t>θ</w:t>
      </w:r>
      <w:r w:rsidRPr="007C17A6">
        <w:rPr>
          <w:rFonts w:ascii="Times New Roman" w:hAnsi="Times New Roman" w:cs="Times New Roman"/>
          <w:sz w:val="24"/>
          <w:szCs w:val="24"/>
          <w:lang w:val="en-GB" w:eastAsia="en-GB"/>
        </w:rPr>
        <w:t xml:space="preserve"> which was area- and cell-assembly specific, and defined as a fraction </w:t>
      </w:r>
      <w:r w:rsidRPr="007C17A6">
        <w:rPr>
          <w:rFonts w:ascii="Times New Roman" w:hAnsi="Times New Roman" w:cs="Times New Roman"/>
          <w:i/>
          <w:sz w:val="24"/>
          <w:szCs w:val="24"/>
          <w:lang w:val="en-GB" w:eastAsia="en-GB"/>
        </w:rPr>
        <w:t>γ</w:t>
      </w:r>
      <w:r w:rsidRPr="007C17A6">
        <w:rPr>
          <w:rFonts w:ascii="Times New Roman" w:hAnsi="Times New Roman" w:cs="Times New Roman"/>
          <w:sz w:val="24"/>
          <w:szCs w:val="24"/>
          <w:lang w:val="en-GB" w:eastAsia="en-GB"/>
        </w:rPr>
        <w:t xml:space="preserve"> of the maximal single-cell’s time-averaged response in that area to pattern </w:t>
      </w:r>
      <w:r w:rsidRPr="007C17A6">
        <w:rPr>
          <w:rFonts w:ascii="Times New Roman" w:hAnsi="Times New Roman" w:cs="Times New Roman"/>
          <w:i/>
          <w:sz w:val="24"/>
          <w:szCs w:val="24"/>
          <w:lang w:val="en-GB" w:eastAsia="en-GB"/>
        </w:rPr>
        <w:t>w.</w:t>
      </w:r>
      <w:r w:rsidRPr="007C17A6">
        <w:rPr>
          <w:rFonts w:ascii="Times New Roman" w:hAnsi="Times New Roman" w:cs="Times New Roman"/>
          <w:sz w:val="24"/>
          <w:szCs w:val="24"/>
          <w:lang w:val="en-GB" w:eastAsia="en-GB"/>
        </w:rPr>
        <w:t xml:space="preserve"> More formally, </w:t>
      </w:r>
    </w:p>
    <w:p w14:paraId="2658A370" w14:textId="77777777" w:rsidR="00E740D6" w:rsidRPr="007C17A6" w:rsidRDefault="00E740D6" w:rsidP="00E740D6">
      <w:pPr>
        <w:spacing w:before="120" w:after="120" w:line="240" w:lineRule="auto"/>
        <w:ind w:firstLine="288"/>
        <w:contextualSpacing/>
        <w:jc w:val="both"/>
        <w:rPr>
          <w:rFonts w:ascii="Times New Roman" w:hAnsi="Times New Roman" w:cs="Times New Roman"/>
          <w:sz w:val="24"/>
          <w:szCs w:val="24"/>
          <w:lang w:val="en-GB"/>
        </w:rPr>
      </w:pPr>
    </w:p>
    <w:p w14:paraId="2F37D6BB" w14:textId="77777777" w:rsidR="00E43A92" w:rsidRPr="007C17A6" w:rsidRDefault="00E43A92" w:rsidP="00E740D6">
      <w:pPr>
        <w:spacing w:before="120" w:after="120" w:line="240" w:lineRule="auto"/>
        <w:ind w:firstLine="288"/>
        <w:contextualSpacing/>
        <w:jc w:val="center"/>
        <w:rPr>
          <w:rFonts w:ascii="Times New Roman" w:hAnsi="Times New Roman" w:cs="Times New Roman"/>
        </w:rPr>
      </w:pPr>
      <w:r w:rsidRPr="007C17A6">
        <w:rPr>
          <w:rFonts w:ascii="Times New Roman" w:hAnsi="Times New Roman" w:cs="Times New Roman"/>
          <w:i/>
          <w:sz w:val="24"/>
          <w:szCs w:val="24"/>
          <w:lang w:val="en-GB"/>
        </w:rPr>
        <w:t>θ</w:t>
      </w:r>
      <w:r w:rsidRPr="007C17A6">
        <w:rPr>
          <w:rFonts w:ascii="Times New Roman" w:hAnsi="Times New Roman" w:cs="Times New Roman"/>
          <w:sz w:val="24"/>
          <w:szCs w:val="24"/>
          <w:lang w:val="en-GB"/>
        </w:rPr>
        <w:t xml:space="preserve"> = </w:t>
      </w:r>
      <w:proofErr w:type="spellStart"/>
      <w:r w:rsidRPr="007C17A6">
        <w:rPr>
          <w:rFonts w:ascii="Times New Roman" w:hAnsi="Times New Roman" w:cs="Times New Roman"/>
          <w:i/>
          <w:sz w:val="24"/>
          <w:szCs w:val="24"/>
          <w:lang w:val="en-GB"/>
        </w:rPr>
        <w:t>θ</w:t>
      </w:r>
      <w:r w:rsidRPr="007C17A6">
        <w:rPr>
          <w:rFonts w:ascii="Times New Roman" w:hAnsi="Times New Roman" w:cs="Times New Roman"/>
          <w:i/>
          <w:sz w:val="24"/>
          <w:szCs w:val="24"/>
          <w:vertAlign w:val="subscript"/>
          <w:lang w:val="en-GB"/>
        </w:rPr>
        <w:t>A</w:t>
      </w:r>
      <w:proofErr w:type="spellEnd"/>
      <w:r w:rsidRPr="007C17A6">
        <w:rPr>
          <w:rFonts w:ascii="Times New Roman" w:hAnsi="Times New Roman" w:cs="Times New Roman"/>
          <w:sz w:val="24"/>
          <w:szCs w:val="24"/>
          <w:lang w:val="en-GB"/>
        </w:rPr>
        <w:t>(</w:t>
      </w:r>
      <w:r w:rsidRPr="007C17A6">
        <w:rPr>
          <w:rFonts w:ascii="Times New Roman" w:hAnsi="Times New Roman" w:cs="Times New Roman"/>
          <w:i/>
          <w:sz w:val="24"/>
          <w:szCs w:val="24"/>
          <w:lang w:val="en-GB"/>
        </w:rPr>
        <w:t>w</w:t>
      </w:r>
      <w:r w:rsidRPr="007C17A6">
        <w:rPr>
          <w:rFonts w:ascii="Times New Roman" w:hAnsi="Times New Roman" w:cs="Times New Roman"/>
          <w:sz w:val="24"/>
          <w:szCs w:val="24"/>
          <w:lang w:val="en-GB"/>
        </w:rPr>
        <w:t>) =</w:t>
      </w:r>
      <w:r w:rsidRPr="007C17A6">
        <w:rPr>
          <w:rFonts w:ascii="Times New Roman" w:hAnsi="Times New Roman" w:cs="Times New Roman"/>
          <w:lang w:val="en-GB"/>
        </w:rPr>
        <w:t xml:space="preserve"> </w:t>
      </w:r>
      <w:r w:rsidRPr="007C17A6">
        <w:rPr>
          <w:rFonts w:ascii="Times New Roman" w:hAnsi="Times New Roman" w:cs="Times New Roman"/>
          <w:i/>
          <w:lang w:val="en-GB"/>
        </w:rPr>
        <w:t xml:space="preserve">γ </w:t>
      </w:r>
      <m:oMath>
        <m:limLow>
          <m:limLowPr>
            <m:ctrlPr>
              <w:rPr>
                <w:rFonts w:ascii="Cambria Math" w:hAnsi="Cambria Math" w:cs="Times New Roman"/>
                <w:sz w:val="24"/>
                <w:szCs w:val="24"/>
              </w:rPr>
            </m:ctrlPr>
          </m:limLowPr>
          <m:e>
            <m:r>
              <w:rPr>
                <w:rFonts w:ascii="Cambria Math" w:hAnsi="Cambria Math" w:cs="Times New Roman"/>
                <w:sz w:val="24"/>
                <w:szCs w:val="24"/>
              </w:rPr>
              <m:t>max</m:t>
            </m:r>
          </m:e>
          <m:lim>
            <m:r>
              <w:rPr>
                <w:rFonts w:ascii="Cambria Math" w:hAnsi="Cambria Math" w:cs="Times New Roman"/>
                <w:sz w:val="24"/>
                <w:szCs w:val="24"/>
              </w:rPr>
              <m:t>x∈A</m:t>
            </m:r>
          </m:lim>
        </m:limLow>
        <m:bar>
          <m:barPr>
            <m:pos m:val="top"/>
            <m:ctrlPr>
              <w:rPr>
                <w:rFonts w:ascii="Cambria Math" w:hAnsi="Cambria Math" w:cs="Times New Roman"/>
                <w:sz w:val="24"/>
                <w:szCs w:val="24"/>
              </w:rPr>
            </m:ctrlPr>
          </m:barPr>
          <m:e>
            <m:r>
              <w:rPr>
                <w:rFonts w:ascii="Cambria Math" w:hAnsi="Cambria Math" w:cs="Times New Roman"/>
                <w:sz w:val="24"/>
                <w:szCs w:val="24"/>
              </w:rPr>
              <m:t>O(x,t</m:t>
            </m:r>
            <m:sSub>
              <m:sSubPr>
                <m:ctrlPr>
                  <w:rPr>
                    <w:rFonts w:ascii="Cambria Math" w:hAnsi="Cambria Math" w:cs="Times New Roman"/>
                    <w:sz w:val="24"/>
                    <w:szCs w:val="24"/>
                  </w:rPr>
                </m:ctrlPr>
              </m:sSubPr>
              <m:e>
                <m:r>
                  <w:rPr>
                    <w:rFonts w:ascii="Cambria Math" w:hAnsi="Cambria Math" w:cs="Times New Roman"/>
                    <w:sz w:val="24"/>
                    <w:szCs w:val="24"/>
                  </w:rPr>
                  <m:t>)</m:t>
                </m:r>
              </m:e>
              <m:sub>
                <m:r>
                  <w:rPr>
                    <w:rFonts w:ascii="Cambria Math" w:hAnsi="Cambria Math" w:cs="Times New Roman"/>
                    <w:sz w:val="24"/>
                    <w:szCs w:val="24"/>
                  </w:rPr>
                  <m:t>w</m:t>
                </m:r>
              </m:sub>
            </m:sSub>
          </m:e>
        </m:bar>
      </m:oMath>
    </w:p>
    <w:p w14:paraId="084B3770" w14:textId="77777777" w:rsidR="00E740D6" w:rsidRPr="007C17A6" w:rsidRDefault="00E740D6" w:rsidP="00E740D6">
      <w:pPr>
        <w:spacing w:line="240" w:lineRule="auto"/>
        <w:ind w:firstLine="288"/>
        <w:contextualSpacing/>
        <w:jc w:val="both"/>
        <w:rPr>
          <w:rFonts w:ascii="Times New Roman" w:hAnsi="Times New Roman" w:cs="Times New Roman"/>
          <w:sz w:val="24"/>
          <w:szCs w:val="24"/>
          <w:lang w:val="en-GB" w:eastAsia="en-GB"/>
        </w:rPr>
      </w:pPr>
    </w:p>
    <w:p w14:paraId="0C358C05" w14:textId="62BE69DA" w:rsidR="00E43A92" w:rsidRPr="007C17A6" w:rsidRDefault="00E43A92" w:rsidP="0077421C">
      <w:pPr>
        <w:spacing w:line="240" w:lineRule="auto"/>
        <w:contextualSpacing/>
        <w:jc w:val="both"/>
        <w:rPr>
          <w:rFonts w:ascii="Times New Roman" w:hAnsi="Times New Roman" w:cs="Times New Roman"/>
          <w:sz w:val="24"/>
          <w:szCs w:val="24"/>
          <w:lang w:val="en-GB"/>
        </w:rPr>
      </w:pPr>
      <w:r w:rsidRPr="007C17A6">
        <w:rPr>
          <w:rFonts w:ascii="Times New Roman" w:hAnsi="Times New Roman" w:cs="Times New Roman"/>
          <w:sz w:val="24"/>
          <w:szCs w:val="24"/>
          <w:lang w:val="en-GB" w:eastAsia="en-GB"/>
        </w:rPr>
        <w:t xml:space="preserve">where </w:t>
      </w:r>
      <m:oMath>
        <m:bar>
          <m:barPr>
            <m:pos m:val="top"/>
            <m:ctrlPr>
              <w:rPr>
                <w:rFonts w:ascii="Cambria Math" w:hAnsi="Cambria Math" w:cs="Times New Roman"/>
              </w:rPr>
            </m:ctrlPr>
          </m:barPr>
          <m:e>
            <m:r>
              <w:rPr>
                <w:rFonts w:ascii="Cambria Math" w:hAnsi="Cambria Math" w:cs="Times New Roman"/>
              </w:rPr>
              <m:t>O(x,t</m:t>
            </m:r>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w</m:t>
                </m:r>
              </m:sub>
            </m:sSub>
          </m:e>
        </m:bar>
      </m:oMath>
      <w:r w:rsidRPr="007C17A6">
        <w:rPr>
          <w:rFonts w:ascii="Times New Roman" w:hAnsi="Times New Roman" w:cs="Times New Roman"/>
          <w:sz w:val="24"/>
          <w:szCs w:val="24"/>
          <w:lang w:val="en-GB" w:eastAsia="en-GB"/>
        </w:rPr>
        <w:t xml:space="preserve"> is the estimated time-averaged response of cell </w:t>
      </w:r>
      <w:r w:rsidRPr="007C17A6">
        <w:rPr>
          <w:rFonts w:ascii="Times New Roman" w:hAnsi="Times New Roman" w:cs="Times New Roman"/>
          <w:i/>
          <w:sz w:val="24"/>
          <w:szCs w:val="24"/>
          <w:lang w:val="en-GB" w:eastAsia="en-GB"/>
        </w:rPr>
        <w:t>x</w:t>
      </w:r>
      <w:r w:rsidRPr="007C17A6">
        <w:rPr>
          <w:rFonts w:ascii="Times New Roman" w:hAnsi="Times New Roman" w:cs="Times New Roman"/>
          <w:sz w:val="24"/>
          <w:szCs w:val="24"/>
          <w:lang w:val="en-GB" w:eastAsia="en-GB"/>
        </w:rPr>
        <w:t xml:space="preserve"> to word pattern </w:t>
      </w:r>
      <w:r w:rsidRPr="007C17A6">
        <w:rPr>
          <w:rFonts w:ascii="Times New Roman" w:hAnsi="Times New Roman" w:cs="Times New Roman"/>
          <w:i/>
          <w:sz w:val="24"/>
          <w:szCs w:val="24"/>
          <w:lang w:val="en-GB" w:eastAsia="en-GB"/>
        </w:rPr>
        <w:t xml:space="preserve">w </w:t>
      </w:r>
      <w:r w:rsidR="00FD3456" w:rsidRPr="007C17A6">
        <w:rPr>
          <w:rFonts w:ascii="Times New Roman" w:hAnsi="Times New Roman" w:cs="Times New Roman"/>
          <w:i/>
          <w:lang w:val="en-GB" w:eastAsia="en-GB"/>
        </w:rPr>
        <w:t xml:space="preserve"> </w:t>
      </w:r>
      <w:r w:rsidR="00FD3456" w:rsidRPr="007C17A6">
        <w:rPr>
          <w:rFonts w:ascii="Times New Roman" w:hAnsi="Times New Roman" w:cs="Times New Roman"/>
          <w:lang w:val="en-GB" w:eastAsia="en-GB"/>
        </w:rPr>
        <w:t>(see in Method section under “</w:t>
      </w:r>
      <w:r w:rsidR="00FD3456" w:rsidRPr="007C17A6">
        <w:rPr>
          <w:rFonts w:ascii="Times New Roman" w:hAnsi="Times New Roman" w:cs="Times New Roman"/>
          <w:i/>
        </w:rPr>
        <w:t>Structure and function of the spiking model</w:t>
      </w:r>
      <w:r w:rsidR="00FD3456" w:rsidRPr="007C17A6">
        <w:rPr>
          <w:rFonts w:ascii="Times New Roman" w:hAnsi="Times New Roman" w:cs="Times New Roman"/>
        </w:rPr>
        <w:t>”)</w:t>
      </w:r>
      <w:r w:rsidR="00FD3456" w:rsidRPr="007C17A6">
        <w:rPr>
          <w:rFonts w:ascii="Times New Roman" w:hAnsi="Times New Roman" w:cs="Times New Roman"/>
          <w:i/>
          <w:sz w:val="24"/>
          <w:szCs w:val="24"/>
          <w:lang w:val="en-GB" w:eastAsia="en-GB"/>
        </w:rPr>
        <w:t xml:space="preserve"> </w:t>
      </w:r>
      <w:r w:rsidRPr="007C17A6">
        <w:rPr>
          <w:rFonts w:ascii="Times New Roman" w:hAnsi="Times New Roman" w:cs="Times New Roman"/>
          <w:sz w:val="24"/>
          <w:szCs w:val="24"/>
          <w:lang w:val="en-GB" w:eastAsia="en-GB"/>
        </w:rPr>
        <w:t>and</w:t>
      </w:r>
      <w:r w:rsidRPr="007C17A6">
        <w:rPr>
          <w:rFonts w:ascii="Times New Roman" w:hAnsi="Times New Roman" w:cs="Times New Roman"/>
          <w:i/>
          <w:sz w:val="24"/>
          <w:szCs w:val="24"/>
          <w:lang w:val="en-GB" w:eastAsia="en-GB"/>
        </w:rPr>
        <w:t xml:space="preserve"> </w:t>
      </w:r>
      <w:r w:rsidR="00B30D84" w:rsidRPr="007C17A6">
        <w:rPr>
          <w:i/>
          <w:sz w:val="24"/>
          <w:szCs w:val="24"/>
          <w:lang w:val="en-GB" w:eastAsia="en-GB"/>
        </w:rPr>
        <w:t>γ</w:t>
      </w:r>
      <w:r w:rsidR="00B30D84" w:rsidRPr="007C17A6">
        <w:rPr>
          <w:rFonts w:ascii="Symbol" w:eastAsia="Symbol" w:hAnsi="Symbol" w:cs="Symbol"/>
          <w:sz w:val="24"/>
          <w:szCs w:val="24"/>
          <w:lang w:val="en-GB" w:eastAsia="en-GB"/>
        </w:rPr>
        <w:t></w:t>
      </w:r>
      <w:r w:rsidR="00B30D84" w:rsidRPr="007C17A6">
        <w:rPr>
          <w:sz w:val="24"/>
          <w:szCs w:val="24"/>
          <w:lang w:val="en-GB" w:eastAsia="en-GB"/>
        </w:rPr>
        <w:t xml:space="preserve">[0,1] </w:t>
      </w:r>
      <w:r w:rsidRPr="007C17A6">
        <w:rPr>
          <w:rFonts w:ascii="Times New Roman" w:hAnsi="Times New Roman" w:cs="Times New Roman"/>
          <w:sz w:val="24"/>
          <w:szCs w:val="24"/>
          <w:lang w:val="en-GB" w:eastAsia="en-GB"/>
        </w:rPr>
        <w:t xml:space="preserve">is a constant </w:t>
      </w:r>
      <w:r w:rsidRPr="007C17A6">
        <w:rPr>
          <w:rFonts w:ascii="Times New Roman" w:hAnsi="Times New Roman" w:cs="Times New Roman"/>
          <w:sz w:val="24"/>
          <w:szCs w:val="24"/>
          <w:lang w:val="en-GB"/>
        </w:rPr>
        <w:t xml:space="preserve">(we used </w:t>
      </w:r>
      <w:r w:rsidRPr="007C17A6">
        <w:rPr>
          <w:rFonts w:ascii="Times New Roman" w:hAnsi="Times New Roman" w:cs="Times New Roman"/>
          <w:i/>
          <w:sz w:val="24"/>
          <w:szCs w:val="24"/>
          <w:lang w:val="en-GB" w:eastAsia="en-GB"/>
        </w:rPr>
        <w:t>γ</w:t>
      </w:r>
      <w:r w:rsidRPr="007C17A6">
        <w:rPr>
          <w:rFonts w:ascii="Times New Roman" w:hAnsi="Times New Roman" w:cs="Times New Roman"/>
          <w:sz w:val="24"/>
          <w:szCs w:val="24"/>
          <w:lang w:val="en-GB"/>
        </w:rPr>
        <w:t xml:space="preserve"> = 0.5 on the basis of previous simulation results (see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"10.1007/s12559-009-9011-1", "ISBN" : "1866-9964 (Electronic)", "ISSN" : "18669956", "PMID" : "20396612", "abstract" : "Current cognitive theories postulate either localist representations of knowledge or fully overlapping, distributed ones. We use a connectionist model that closely replicates known anatomical properties of the cerebral cortex and neurophysiological principles to show that Hebbian learning in a multi-layer neural network leads to memory traces (cell assemblies) that are both distributed and anatomically distinct. Taking the example of word learning based on action-perception correlation, we document mechanisms underlying the emergence of these assemblies, especially (i) the recruitment of neurons and consolidation of connections defining the kernel of the assembly along with (ii) the pruning of the cell assembly's halo (consisting of very weakly connected cells). We found that, whereas a learning rule mapping covariance led to significant overlap and merging of assemblies, a neurobiologically grounded synaptic plasticity rule with fixed LTP/LTD thresholds produced minimal overlap and prevented merging, exhibiting competitive learning behaviour. Our results are discussed in light of current theories of language and memory. As simulations with neurobiologically realistic neural networks demonstrate here spontaneous emergence of lexical representations that are both cortically dispersed and anatomically distinct, both localist and distributed cognitive accounts receive partial support.", "author"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"Cognitive Computation", "id" : "ITEM-1", "issue" : "2", "issued" : { "date-parts" : [ [ "2009" ] ] }, "page" : "160-176", "title" : "Recruitment and consolidation of cell assemblies for words by way of hebbian learning and competition in a multi-layer neural network", "type" : "article-journal", "volume" : "1" }, "uris" : [ "http://www.mendeley.com/documents/?uuid=add69180-5245-4006-8ac0-b0b07fab57ad" ] }, { "id" : "ITEM-2", "itemData" : { "DOI" : "10.1111/j.1460-9568.2008.06015.x", "ISBN" : "0953-816X", "ISSN" : "0953816X", "PMID" : "18215243", "abstract" : "Meaningful familiar stimuli and senseless unknown materials lead to different patterns of brain activation. A late major neurophysiological response indexing 'sense' is the negative component of event-related potential peaking at around 400 ms (N400), an event-related potential that emerges in attention-demanding tasks and is larger for senseless materials (e.g. meaningless pseudowords) than for matched meaningful stimuli (words). However, the mismatch negativity (latency 100-250 ms), an early automatic brain response elicited under distraction, is larger to words than to pseudowords, thus exhibiting the opposite pattern to that seen for the N400. So far, no theoretical account has been able to reconcile and explain these findings by means of a single, mechanistic neural model. We implemented a neuroanatomically grounded neural network model of the left perisylvian language cortex and simulated: (i) brain processes of early language acquisition and (ii) cortical responses to familiar word and senseless pseudoword stimuli. We found that variation of the area-specific inhibition (the model correlate of attention) modulated the simulated brain response to words and pseudowords, producing either an N400- or a mismatch negativity-like response depending on the amount of inhibition (i.e. available attentional resources). Our model: (i) provides a unifying explanatory account, at cortical level, of experimental observations that, so far, had not been given a coherent interpretation within a single framework; (ii) demonstrates the viability of purely Hebbian, associative learning in a multilayered neural network architecture; and (iii) makes clear predictions on the effects of attention on latency and magnitude of event-related potentials to lexical items. Such predictions have been confirmed by recent experimental evidence.", "author"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"European Journal of Neuroscience", "id" : "ITEM-2", "issue" : "2", "issued" : { "date-parts" : [ [ "2008", "1" ] ] }, "page" : "492-513", "title" : "A neuroanatomically grounded Hebbian-learning model of attention-language interactions in the human brain", "type" : "article-journal", "volume" : "27" }, "uris" : [ "http://www.mendeley.com/documents/?uuid=14f334ce-cd5a-41d3-9d22-fa7de6bdd740" ] }, { "id" : "ITEM-3", "itemData" : { "DOI" : "http://doi.org/10.1016/j.neuropsychologia.2016.07.004.", "ISSN" : "0028-3932", "abstract" : "Neuroimaging and patient studies show that different areas of cortex respectively specialize for general and selective, or category-specific, semantic processing. Why are there both semantic hubs and category-specificity, and how come that they emerge in different cortical regions? Can the activation time-course of these areas be predicted and explained by brain-like network models? In this present work, we extend a neurocomputational model of human cortical function to simulate the time-course of cortical processes of understanding meaningful concrete words. The model implements frontal and temporal cortical areas for language, perception, and action along with their connectivity. It uses Hebbian learning to semantically ground words in aspects of their referential object- and action-related meaning. Compared with earlier proposals, the present model incorporates additional neuroanatomical links supported by connectivity studies and downscaled synaptic weights in order to control for functional between-area differences purely due to the number of in- or output links of an area. We show that learning of semantic relationships between words and the objects and actions these symbols are used to speak about, leads to the formation of distributed circuits, which all include neuronal material in connector hub areas bridging between sensory and motor cortical systems. Therefore, these connector hub areas acquire a role as semantic hubs. By differentially reaching into motor or visual areas, the cortical distributions of the emergent 'semantic circuits' reflect aspects of the represented symbols' meaning, thus explaining category-specificity. The improved connectivity structure of our model entails a degree of category-specificity even in the 'semantic hubs' of the model. The relative time-course of activation of these areas is typically fast and near-simultaneous, with semantic hubs central to the network structure activating before modality-preferential areas carrying semantic information.", "author" : [ { "dropping-particle" : "", "family" : "Tomasello", "given" : "Rosario", "non-dropping-particle" : "", "parse-names" : false, "suffix" :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"Neuropsychologia", "id" : "ITEM-3", "issue" : "April", "issued" : { "date-parts" : [ [ "2017" ] ] }, "page" : "111-129", "title" : "Brain connections of words, perceptions and actions: A neurobiological model of spatio-temporal semantic activation in the human cortex", "type" : "article-journal", "volume" : "98" }, "uris" : [ "http://www.mendeley.com/documents/?uuid=d40add22-d615-41bc-8a72-daad31f31798" ] } ], "mendeley" : { "formattedCitation" : "(Garagnani et al., 2009, 2008; Tomasello et al., 2017)", "manualFormatting" : "Garagnani et al. 2008; Garagnani et al. 2009; Tomasello et al. 2017)", "plainTextFormattedCitation" : "(Garagnani et al., 2009, 2008; Tomasello et al., 2017)", "previouslyFormattedCitation" : "(Garagnani et al., 2009, 2008; Tomasello et al., 2017)" }, "properties" : {  }, "schema" : "https://github.com/citation-style-language/schema/raw/master/csl-citation.json" }</w:instrText>
      </w:r>
      <w:r w:rsidRPr="007C17A6">
        <w:rPr>
          <w:rFonts w:ascii="Times New Roman" w:hAnsi="Times New Roman" w:cs="Times New Roman"/>
        </w:rPr>
        <w:fldChar w:fldCharType="separate"/>
      </w:r>
      <w:r w:rsidR="003809F0" w:rsidRPr="007C17A6">
        <w:rPr>
          <w:rFonts w:ascii="Times New Roman" w:hAnsi="Times New Roman" w:cs="Times New Roman"/>
          <w:noProof/>
          <w:sz w:val="24"/>
          <w:szCs w:val="24"/>
          <w:lang w:val="en-GB"/>
        </w:rPr>
        <w:t>Garagnani et al. 2008; Garagnani et al. 2009; Tomasello et al. 2017)</w:t>
      </w:r>
      <w:r w:rsidRPr="007C17A6">
        <w:rPr>
          <w:rFonts w:ascii="Times New Roman" w:hAnsi="Times New Roman" w:cs="Times New Roman"/>
        </w:rPr>
        <w:fldChar w:fldCharType="end"/>
      </w:r>
      <w:r w:rsidRPr="007C17A6">
        <w:rPr>
          <w:rFonts w:ascii="Times New Roman" w:hAnsi="Times New Roman" w:cs="Times New Roman"/>
          <w:sz w:val="24"/>
          <w:szCs w:val="24"/>
          <w:lang w:val="en-GB" w:eastAsia="en-GB"/>
        </w:rPr>
        <w:t xml:space="preserve">. This was computed </w:t>
      </w:r>
      <w:r w:rsidRPr="007C17A6">
        <w:rPr>
          <w:rFonts w:ascii="Times New Roman" w:hAnsi="Times New Roman" w:cs="Times New Roman"/>
          <w:sz w:val="24"/>
          <w:szCs w:val="24"/>
          <w:lang w:val="en-GB"/>
        </w:rPr>
        <w:t xml:space="preserve">for each of the 12 trained network instances, averaging the number of CA cells per area over the 6 object- and 6 action-related words. </w:t>
      </w:r>
    </w:p>
    <w:p w14:paraId="2D8E6271" w14:textId="77777777" w:rsidR="00E740D6" w:rsidRPr="007C17A6" w:rsidRDefault="00E740D6" w:rsidP="00E740D6">
      <w:pPr>
        <w:spacing w:line="240" w:lineRule="auto"/>
        <w:ind w:firstLine="288"/>
        <w:contextualSpacing/>
        <w:jc w:val="both"/>
        <w:rPr>
          <w:rFonts w:ascii="Times New Roman" w:hAnsi="Times New Roman" w:cs="Times New Roman"/>
          <w:i/>
          <w:sz w:val="24"/>
          <w:szCs w:val="24"/>
          <w:lang w:val="en-GB" w:eastAsia="en-GB"/>
        </w:rPr>
      </w:pPr>
    </w:p>
    <w:p w14:paraId="298ED1D6" w14:textId="0B150752" w:rsidR="00A838DC" w:rsidRPr="007C17A6" w:rsidRDefault="00E5421A" w:rsidP="0077421C">
      <w:pPr>
        <w:spacing w:line="240" w:lineRule="auto"/>
        <w:contextualSpacing/>
        <w:jc w:val="both"/>
        <w:rPr>
          <w:rFonts w:ascii="Times New Roman" w:hAnsi="Times New Roman" w:cs="Times New Roman"/>
          <w:lang w:val="en-GB"/>
        </w:rPr>
      </w:pPr>
      <w:r w:rsidRPr="007C17A6">
        <w:rPr>
          <w:rFonts w:ascii="Times New Roman" w:hAnsi="Times New Roman" w:cs="Times New Roman"/>
          <w:sz w:val="24"/>
          <w:szCs w:val="24"/>
          <w:lang w:val="en-GB"/>
        </w:rPr>
        <w:t xml:space="preserve">To statistically test for the presence of significant differences in the topographical CA distribution across the twelve network areas, for each network instance we performed a repeated-measures Analyses of Variance (ANOVA). A 4-way ANOVA was run with factors </w:t>
      </w:r>
      <w:proofErr w:type="spellStart"/>
      <w:r w:rsidRPr="007C17A6">
        <w:rPr>
          <w:rFonts w:ascii="Times New Roman" w:hAnsi="Times New Roman" w:cs="Times New Roman"/>
          <w:sz w:val="24"/>
          <w:szCs w:val="24"/>
          <w:lang w:val="en-GB"/>
        </w:rPr>
        <w:t>WordType</w:t>
      </w:r>
      <w:proofErr w:type="spellEnd"/>
      <w:r w:rsidRPr="007C17A6">
        <w:rPr>
          <w:rFonts w:ascii="Times New Roman" w:hAnsi="Times New Roman" w:cs="Times New Roman"/>
          <w:sz w:val="24"/>
          <w:szCs w:val="24"/>
          <w:lang w:val="en-GB"/>
        </w:rPr>
        <w:t xml:space="preserve"> (two levels: </w:t>
      </w:r>
      <w:r w:rsidRPr="007C17A6">
        <w:rPr>
          <w:rFonts w:ascii="Times New Roman" w:hAnsi="Times New Roman" w:cs="Times New Roman"/>
          <w:i/>
          <w:sz w:val="24"/>
          <w:szCs w:val="24"/>
          <w:lang w:val="en-GB"/>
        </w:rPr>
        <w:t>Object</w:t>
      </w:r>
      <w:r w:rsidRPr="007C17A6">
        <w:rPr>
          <w:rFonts w:ascii="Times New Roman" w:hAnsi="Times New Roman" w:cs="Times New Roman"/>
          <w:sz w:val="24"/>
          <w:szCs w:val="24"/>
          <w:lang w:val="en-GB"/>
        </w:rPr>
        <w:t xml:space="preserve"> vs. </w:t>
      </w:r>
      <w:r w:rsidRPr="007C17A6">
        <w:rPr>
          <w:rFonts w:ascii="Times New Roman" w:hAnsi="Times New Roman" w:cs="Times New Roman"/>
          <w:i/>
          <w:sz w:val="24"/>
          <w:szCs w:val="24"/>
          <w:lang w:val="en-GB"/>
        </w:rPr>
        <w:t>Action</w:t>
      </w:r>
      <w:r w:rsidRPr="007C17A6">
        <w:rPr>
          <w:rFonts w:ascii="Times New Roman" w:hAnsi="Times New Roman" w:cs="Times New Roman"/>
          <w:sz w:val="24"/>
          <w:szCs w:val="24"/>
          <w:lang w:val="en-GB"/>
        </w:rPr>
        <w:t xml:space="preserve">), </w:t>
      </w:r>
      <w:r w:rsidRPr="007C17A6">
        <w:rPr>
          <w:rFonts w:ascii="Times New Roman" w:hAnsi="Times New Roman" w:cs="Times New Roman"/>
          <w:noProof/>
          <w:sz w:val="24"/>
          <w:szCs w:val="24"/>
          <w:lang w:val="en-GB"/>
        </w:rPr>
        <w:t>PeriExtra</w:t>
      </w:r>
      <w:r w:rsidRPr="007C17A6">
        <w:rPr>
          <w:rFonts w:ascii="Times New Roman" w:hAnsi="Times New Roman" w:cs="Times New Roman"/>
          <w:sz w:val="24"/>
          <w:szCs w:val="24"/>
          <w:lang w:val="en-GB"/>
        </w:rPr>
        <w:t xml:space="preserve"> (two levels: </w:t>
      </w:r>
      <w:r w:rsidRPr="007C17A6">
        <w:rPr>
          <w:rFonts w:ascii="Times New Roman" w:hAnsi="Times New Roman" w:cs="Times New Roman"/>
          <w:i/>
          <w:sz w:val="24"/>
          <w:szCs w:val="24"/>
          <w:lang w:val="en-GB"/>
        </w:rPr>
        <w:t>Perisylvian</w:t>
      </w:r>
      <w:r w:rsidRPr="007C17A6">
        <w:rPr>
          <w:rFonts w:ascii="Times New Roman" w:hAnsi="Times New Roman" w:cs="Times New Roman"/>
          <w:sz w:val="24"/>
          <w:szCs w:val="24"/>
          <w:lang w:val="en-GB"/>
        </w:rPr>
        <w:t xml:space="preserve"> = {A1, AB, PB, M1</w:t>
      </w:r>
      <w:r w:rsidRPr="007C17A6">
        <w:rPr>
          <w:rFonts w:ascii="Times New Roman" w:hAnsi="Times New Roman" w:cs="Times New Roman"/>
          <w:sz w:val="24"/>
          <w:szCs w:val="24"/>
          <w:vertAlign w:val="subscript"/>
          <w:lang w:val="en-GB"/>
        </w:rPr>
        <w:t>i</w:t>
      </w:r>
      <w:r w:rsidRPr="007C17A6">
        <w:rPr>
          <w:rFonts w:ascii="Times New Roman" w:hAnsi="Times New Roman" w:cs="Times New Roman"/>
          <w:sz w:val="24"/>
          <w:szCs w:val="24"/>
          <w:lang w:val="en-GB"/>
        </w:rPr>
        <w:t xml:space="preserve">, </w:t>
      </w:r>
      <w:r w:rsidRPr="007C17A6">
        <w:rPr>
          <w:rFonts w:ascii="Times New Roman" w:hAnsi="Times New Roman" w:cs="Times New Roman"/>
          <w:noProof/>
          <w:sz w:val="24"/>
          <w:szCs w:val="24"/>
          <w:lang w:val="en-GB"/>
        </w:rPr>
        <w:t>PM</w:t>
      </w:r>
      <w:r w:rsidRPr="007C17A6">
        <w:rPr>
          <w:rFonts w:ascii="Times New Roman" w:hAnsi="Times New Roman" w:cs="Times New Roman"/>
          <w:noProof/>
          <w:sz w:val="24"/>
          <w:szCs w:val="24"/>
          <w:vertAlign w:val="subscript"/>
          <w:lang w:val="en-GB"/>
        </w:rPr>
        <w:t>i</w:t>
      </w:r>
      <w:r w:rsidRPr="007C17A6">
        <w:rPr>
          <w:rFonts w:ascii="Times New Roman" w:hAnsi="Times New Roman" w:cs="Times New Roman"/>
          <w:sz w:val="24"/>
          <w:szCs w:val="24"/>
          <w:lang w:val="en-GB"/>
        </w:rPr>
        <w:t xml:space="preserve">, </w:t>
      </w:r>
      <w:proofErr w:type="spellStart"/>
      <w:r w:rsidRPr="007C17A6">
        <w:rPr>
          <w:rFonts w:ascii="Times New Roman" w:hAnsi="Times New Roman" w:cs="Times New Roman"/>
          <w:sz w:val="24"/>
          <w:szCs w:val="24"/>
          <w:lang w:val="en-GB"/>
        </w:rPr>
        <w:t>PF</w:t>
      </w:r>
      <w:r w:rsidRPr="007C17A6">
        <w:rPr>
          <w:rFonts w:ascii="Times New Roman" w:hAnsi="Times New Roman" w:cs="Times New Roman"/>
          <w:sz w:val="24"/>
          <w:szCs w:val="24"/>
          <w:vertAlign w:val="subscript"/>
          <w:lang w:val="en-GB"/>
        </w:rPr>
        <w:t>i</w:t>
      </w:r>
      <w:proofErr w:type="spellEnd"/>
      <w:r w:rsidRPr="007C17A6">
        <w:rPr>
          <w:rFonts w:ascii="Times New Roman" w:hAnsi="Times New Roman" w:cs="Times New Roman"/>
          <w:sz w:val="24"/>
          <w:szCs w:val="24"/>
          <w:lang w:val="en-GB"/>
        </w:rPr>
        <w:t xml:space="preserve">}, </w:t>
      </w:r>
      <w:r w:rsidRPr="007C17A6">
        <w:rPr>
          <w:rFonts w:ascii="Times New Roman" w:hAnsi="Times New Roman" w:cs="Times New Roman"/>
          <w:i/>
          <w:sz w:val="24"/>
          <w:szCs w:val="24"/>
          <w:lang w:val="en-GB"/>
        </w:rPr>
        <w:t>Extrasylvian</w:t>
      </w:r>
      <w:r w:rsidRPr="007C17A6">
        <w:rPr>
          <w:rFonts w:ascii="Times New Roman" w:hAnsi="Times New Roman" w:cs="Times New Roman"/>
          <w:sz w:val="24"/>
          <w:szCs w:val="24"/>
          <w:lang w:val="en-GB"/>
        </w:rPr>
        <w:t xml:space="preserve"> cortex = {V1, TO, AT, M1</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PM</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PF</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xml:space="preserve">}), </w:t>
      </w:r>
      <w:proofErr w:type="spellStart"/>
      <w:r w:rsidRPr="007C17A6">
        <w:rPr>
          <w:rFonts w:ascii="Times New Roman" w:hAnsi="Times New Roman" w:cs="Times New Roman"/>
          <w:sz w:val="24"/>
          <w:szCs w:val="24"/>
          <w:lang w:val="en-GB"/>
        </w:rPr>
        <w:t>TemporalFrontal</w:t>
      </w:r>
      <w:proofErr w:type="spellEnd"/>
      <w:r w:rsidRPr="007C17A6">
        <w:rPr>
          <w:rFonts w:ascii="Times New Roman" w:hAnsi="Times New Roman" w:cs="Times New Roman"/>
          <w:sz w:val="24"/>
          <w:szCs w:val="24"/>
          <w:lang w:val="en-GB"/>
        </w:rPr>
        <w:t xml:space="preserve"> (</w:t>
      </w:r>
      <w:proofErr w:type="spellStart"/>
      <w:r w:rsidRPr="007C17A6">
        <w:rPr>
          <w:rFonts w:ascii="Times New Roman" w:hAnsi="Times New Roman" w:cs="Times New Roman"/>
          <w:sz w:val="24"/>
          <w:szCs w:val="24"/>
          <w:lang w:val="en-GB"/>
        </w:rPr>
        <w:t>TempFront</w:t>
      </w:r>
      <w:proofErr w:type="spellEnd"/>
      <w:r w:rsidRPr="007C17A6">
        <w:rPr>
          <w:rFonts w:ascii="Times New Roman" w:hAnsi="Times New Roman" w:cs="Times New Roman"/>
          <w:sz w:val="24"/>
          <w:szCs w:val="24"/>
          <w:lang w:val="en-GB"/>
        </w:rPr>
        <w:t xml:space="preserve">)” (2 levels: </w:t>
      </w:r>
      <w:r w:rsidRPr="007C17A6">
        <w:rPr>
          <w:rFonts w:ascii="Times New Roman" w:hAnsi="Times New Roman" w:cs="Times New Roman"/>
          <w:i/>
          <w:sz w:val="24"/>
          <w:szCs w:val="24"/>
          <w:lang w:val="en-GB"/>
        </w:rPr>
        <w:t xml:space="preserve">temporal areas </w:t>
      </w:r>
      <w:r w:rsidRPr="007C17A6">
        <w:rPr>
          <w:rFonts w:ascii="Times New Roman" w:hAnsi="Times New Roman" w:cs="Times New Roman"/>
          <w:sz w:val="24"/>
          <w:szCs w:val="24"/>
          <w:lang w:val="en-GB"/>
        </w:rPr>
        <w:t xml:space="preserve">= {A1, AB, PB, V1, TO, AT}, </w:t>
      </w:r>
      <w:r w:rsidRPr="007C17A6">
        <w:rPr>
          <w:rFonts w:ascii="Times New Roman" w:hAnsi="Times New Roman" w:cs="Times New Roman"/>
          <w:i/>
          <w:sz w:val="24"/>
          <w:szCs w:val="24"/>
          <w:lang w:val="en-GB"/>
        </w:rPr>
        <w:t>frontal areas</w:t>
      </w:r>
      <w:r w:rsidRPr="007C17A6">
        <w:rPr>
          <w:rFonts w:ascii="Times New Roman" w:hAnsi="Times New Roman" w:cs="Times New Roman"/>
          <w:sz w:val="24"/>
          <w:szCs w:val="24"/>
          <w:lang w:val="en-GB"/>
        </w:rPr>
        <w:t>={M1</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PM</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PF</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M1</w:t>
      </w:r>
      <w:r w:rsidRPr="007C17A6">
        <w:rPr>
          <w:rFonts w:ascii="Times New Roman" w:hAnsi="Times New Roman" w:cs="Times New Roman"/>
          <w:sz w:val="24"/>
          <w:szCs w:val="24"/>
          <w:vertAlign w:val="subscript"/>
          <w:lang w:val="en-GB"/>
        </w:rPr>
        <w:t>i</w:t>
      </w:r>
      <w:r w:rsidRPr="007C17A6">
        <w:rPr>
          <w:rFonts w:ascii="Times New Roman" w:hAnsi="Times New Roman" w:cs="Times New Roman"/>
          <w:sz w:val="24"/>
          <w:szCs w:val="24"/>
          <w:lang w:val="en-GB"/>
        </w:rPr>
        <w:t xml:space="preserve">, </w:t>
      </w:r>
      <w:r w:rsidRPr="007C17A6">
        <w:rPr>
          <w:rFonts w:ascii="Times New Roman" w:hAnsi="Times New Roman" w:cs="Times New Roman"/>
          <w:noProof/>
          <w:sz w:val="24"/>
          <w:szCs w:val="24"/>
          <w:lang w:val="en-GB"/>
        </w:rPr>
        <w:t>PM</w:t>
      </w:r>
      <w:r w:rsidRPr="007C17A6">
        <w:rPr>
          <w:rFonts w:ascii="Times New Roman" w:hAnsi="Times New Roman" w:cs="Times New Roman"/>
          <w:noProof/>
          <w:sz w:val="24"/>
          <w:szCs w:val="24"/>
          <w:vertAlign w:val="subscript"/>
          <w:lang w:val="en-GB"/>
        </w:rPr>
        <w:t>i</w:t>
      </w:r>
      <w:r w:rsidRPr="007C17A6">
        <w:rPr>
          <w:rFonts w:ascii="Times New Roman" w:hAnsi="Times New Roman" w:cs="Times New Roman"/>
          <w:sz w:val="24"/>
          <w:szCs w:val="24"/>
          <w:lang w:val="en-GB"/>
        </w:rPr>
        <w:t xml:space="preserve">, </w:t>
      </w:r>
      <w:proofErr w:type="spellStart"/>
      <w:r w:rsidRPr="007C17A6">
        <w:rPr>
          <w:rFonts w:ascii="Times New Roman" w:hAnsi="Times New Roman" w:cs="Times New Roman"/>
          <w:sz w:val="24"/>
          <w:szCs w:val="24"/>
          <w:lang w:val="en-GB"/>
        </w:rPr>
        <w:t>PF</w:t>
      </w:r>
      <w:r w:rsidRPr="007C17A6">
        <w:rPr>
          <w:rFonts w:ascii="Times New Roman" w:hAnsi="Times New Roman" w:cs="Times New Roman"/>
          <w:sz w:val="24"/>
          <w:szCs w:val="24"/>
          <w:vertAlign w:val="subscript"/>
          <w:lang w:val="en-GB"/>
        </w:rPr>
        <w:t>i</w:t>
      </w:r>
      <w:proofErr w:type="spellEnd"/>
      <w:r w:rsidRPr="007C17A6">
        <w:rPr>
          <w:rFonts w:ascii="Times New Roman" w:hAnsi="Times New Roman" w:cs="Times New Roman"/>
          <w:sz w:val="24"/>
          <w:szCs w:val="24"/>
          <w:lang w:val="en-GB"/>
        </w:rPr>
        <w:t xml:space="preserve">}) and Areas (three levels: </w:t>
      </w:r>
      <w:r w:rsidRPr="007C17A6">
        <w:rPr>
          <w:rFonts w:ascii="Times New Roman" w:hAnsi="Times New Roman" w:cs="Times New Roman"/>
          <w:i/>
          <w:sz w:val="24"/>
          <w:szCs w:val="24"/>
          <w:lang w:val="en-GB"/>
        </w:rPr>
        <w:t>Primary</w:t>
      </w:r>
      <w:r w:rsidRPr="007C17A6">
        <w:rPr>
          <w:rFonts w:ascii="Times New Roman" w:hAnsi="Times New Roman" w:cs="Times New Roman"/>
          <w:sz w:val="24"/>
          <w:szCs w:val="24"/>
          <w:lang w:val="en-GB"/>
        </w:rPr>
        <w:t xml:space="preserve"> = {A1, V1, M1</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M1</w:t>
      </w:r>
      <w:r w:rsidRPr="007C17A6">
        <w:rPr>
          <w:rFonts w:ascii="Times New Roman" w:hAnsi="Times New Roman" w:cs="Times New Roman"/>
          <w:sz w:val="24"/>
          <w:szCs w:val="24"/>
          <w:vertAlign w:val="subscript"/>
          <w:lang w:val="en-GB"/>
        </w:rPr>
        <w:t>i</w:t>
      </w:r>
      <w:r w:rsidRPr="007C17A6">
        <w:rPr>
          <w:rFonts w:ascii="Times New Roman" w:hAnsi="Times New Roman" w:cs="Times New Roman"/>
          <w:sz w:val="24"/>
          <w:szCs w:val="24"/>
          <w:lang w:val="en-GB"/>
        </w:rPr>
        <w:t xml:space="preserve">}, </w:t>
      </w:r>
      <w:r w:rsidRPr="007C17A6">
        <w:rPr>
          <w:rFonts w:ascii="Times New Roman" w:hAnsi="Times New Roman" w:cs="Times New Roman"/>
          <w:i/>
          <w:sz w:val="24"/>
          <w:szCs w:val="24"/>
          <w:lang w:val="en-GB"/>
        </w:rPr>
        <w:t>Secondary</w:t>
      </w:r>
      <w:r w:rsidRPr="007C17A6">
        <w:rPr>
          <w:rFonts w:ascii="Times New Roman" w:hAnsi="Times New Roman" w:cs="Times New Roman"/>
          <w:sz w:val="24"/>
          <w:szCs w:val="24"/>
          <w:lang w:val="en-GB"/>
        </w:rPr>
        <w:t xml:space="preserve"> = {TO, AB, PM</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xml:space="preserve">, </w:t>
      </w:r>
      <w:proofErr w:type="spellStart"/>
      <w:r w:rsidRPr="007C17A6">
        <w:rPr>
          <w:rFonts w:ascii="Times New Roman" w:hAnsi="Times New Roman" w:cs="Times New Roman"/>
          <w:sz w:val="24"/>
          <w:szCs w:val="24"/>
          <w:lang w:val="en-GB"/>
        </w:rPr>
        <w:t>PM</w:t>
      </w:r>
      <w:r w:rsidRPr="007C17A6">
        <w:rPr>
          <w:rFonts w:ascii="Times New Roman" w:hAnsi="Times New Roman" w:cs="Times New Roman"/>
          <w:sz w:val="24"/>
          <w:szCs w:val="24"/>
          <w:vertAlign w:val="subscript"/>
          <w:lang w:val="en-GB"/>
        </w:rPr>
        <w:t>i</w:t>
      </w:r>
      <w:proofErr w:type="spellEnd"/>
      <w:r w:rsidRPr="007C17A6">
        <w:rPr>
          <w:rFonts w:ascii="Times New Roman" w:hAnsi="Times New Roman" w:cs="Times New Roman"/>
          <w:sz w:val="24"/>
          <w:szCs w:val="24"/>
          <w:lang w:val="en-GB"/>
        </w:rPr>
        <w:t xml:space="preserve">} and </w:t>
      </w:r>
      <w:r w:rsidRPr="007C17A6">
        <w:rPr>
          <w:rFonts w:ascii="Times New Roman" w:hAnsi="Times New Roman" w:cs="Times New Roman"/>
          <w:i/>
          <w:sz w:val="24"/>
          <w:szCs w:val="24"/>
          <w:lang w:val="en-GB"/>
        </w:rPr>
        <w:t>Central</w:t>
      </w:r>
      <w:r w:rsidRPr="007C17A6">
        <w:rPr>
          <w:rFonts w:ascii="Times New Roman" w:hAnsi="Times New Roman" w:cs="Times New Roman"/>
          <w:sz w:val="24"/>
          <w:szCs w:val="24"/>
          <w:lang w:val="en-GB"/>
        </w:rPr>
        <w:t xml:space="preserve"> = {PB, AT, PF</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xml:space="preserve">, </w:t>
      </w:r>
      <w:proofErr w:type="spellStart"/>
      <w:r w:rsidRPr="007C17A6">
        <w:rPr>
          <w:rFonts w:ascii="Times New Roman" w:hAnsi="Times New Roman" w:cs="Times New Roman"/>
          <w:sz w:val="24"/>
          <w:szCs w:val="24"/>
          <w:lang w:val="en-GB"/>
        </w:rPr>
        <w:t>PF</w:t>
      </w:r>
      <w:r w:rsidRPr="007C17A6">
        <w:rPr>
          <w:rFonts w:ascii="Times New Roman" w:hAnsi="Times New Roman" w:cs="Times New Roman"/>
          <w:sz w:val="24"/>
          <w:szCs w:val="24"/>
          <w:vertAlign w:val="subscript"/>
          <w:lang w:val="en-GB"/>
        </w:rPr>
        <w:t>i</w:t>
      </w:r>
      <w:proofErr w:type="spellEnd"/>
      <w:r w:rsidRPr="007C17A6">
        <w:rPr>
          <w:rFonts w:ascii="Times New Roman" w:hAnsi="Times New Roman" w:cs="Times New Roman"/>
          <w:sz w:val="24"/>
          <w:szCs w:val="24"/>
          <w:lang w:val="en-GB"/>
        </w:rPr>
        <w:t xml:space="preserve">} areas). </w:t>
      </w:r>
      <w:r w:rsidR="009A5DCE" w:rsidRPr="007C17A6">
        <w:rPr>
          <w:rFonts w:ascii="Times New Roman" w:hAnsi="Times New Roman" w:cs="Times New Roman"/>
          <w:sz w:val="24"/>
          <w:szCs w:val="24"/>
          <w:lang w:val="en-GB"/>
        </w:rPr>
        <w:t>Finally, w</w:t>
      </w:r>
      <w:r w:rsidRPr="007C17A6">
        <w:rPr>
          <w:rFonts w:ascii="Times New Roman" w:hAnsi="Times New Roman" w:cs="Times New Roman"/>
          <w:sz w:val="24"/>
          <w:szCs w:val="24"/>
          <w:lang w:val="en-GB"/>
        </w:rPr>
        <w:t xml:space="preserve">e further </w:t>
      </w:r>
      <w:r w:rsidR="009A5DCE" w:rsidRPr="007C17A6">
        <w:rPr>
          <w:rFonts w:ascii="Times New Roman" w:hAnsi="Times New Roman" w:cs="Times New Roman"/>
          <w:sz w:val="24"/>
          <w:szCs w:val="24"/>
          <w:lang w:val="en-GB"/>
        </w:rPr>
        <w:t>run</w:t>
      </w:r>
      <w:r w:rsidRPr="007C17A6">
        <w:rPr>
          <w:rFonts w:ascii="Times New Roman" w:hAnsi="Times New Roman" w:cs="Times New Roman"/>
          <w:sz w:val="24"/>
          <w:szCs w:val="24"/>
          <w:lang w:val="en-GB"/>
        </w:rPr>
        <w:t xml:space="preserve"> a second statistical analysis on the data of the </w:t>
      </w:r>
      <w:r w:rsidRPr="007C17A6">
        <w:rPr>
          <w:rFonts w:ascii="Times New Roman" w:hAnsi="Times New Roman" w:cs="Times New Roman"/>
          <w:noProof/>
          <w:sz w:val="24"/>
          <w:szCs w:val="24"/>
          <w:lang w:val="en-GB"/>
        </w:rPr>
        <w:t>6</w:t>
      </w:r>
      <w:r w:rsidRPr="007C17A6">
        <w:rPr>
          <w:rFonts w:ascii="Times New Roman" w:hAnsi="Times New Roman" w:cs="Times New Roman"/>
          <w:sz w:val="24"/>
          <w:szCs w:val="24"/>
          <w:lang w:val="en-GB"/>
        </w:rPr>
        <w:t xml:space="preserve"> perisylvian and </w:t>
      </w:r>
      <w:r w:rsidRPr="007C17A6">
        <w:rPr>
          <w:rFonts w:ascii="Times New Roman" w:hAnsi="Times New Roman" w:cs="Times New Roman"/>
          <w:noProof/>
          <w:sz w:val="24"/>
          <w:szCs w:val="24"/>
          <w:lang w:val="en-GB"/>
        </w:rPr>
        <w:t>6</w:t>
      </w:r>
      <w:r w:rsidRPr="007C17A6">
        <w:rPr>
          <w:rFonts w:ascii="Times New Roman" w:hAnsi="Times New Roman" w:cs="Times New Roman"/>
          <w:sz w:val="24"/>
          <w:szCs w:val="24"/>
          <w:lang w:val="en-GB"/>
        </w:rPr>
        <w:t xml:space="preserve"> extrasylvian areas</w:t>
      </w:r>
      <w:r w:rsidR="009A5DCE" w:rsidRPr="007C17A6">
        <w:rPr>
          <w:rFonts w:ascii="Times New Roman" w:hAnsi="Times New Roman" w:cs="Times New Roman"/>
          <w:sz w:val="24"/>
          <w:szCs w:val="24"/>
          <w:lang w:val="en-GB"/>
        </w:rPr>
        <w:t xml:space="preserve"> separately</w:t>
      </w:r>
      <w:r w:rsidRPr="007C17A6">
        <w:rPr>
          <w:rFonts w:ascii="Times New Roman" w:hAnsi="Times New Roman" w:cs="Times New Roman"/>
          <w:sz w:val="24"/>
          <w:szCs w:val="24"/>
          <w:lang w:val="en-GB"/>
        </w:rPr>
        <w:t xml:space="preserve"> with factors “</w:t>
      </w:r>
      <w:proofErr w:type="spellStart"/>
      <w:r w:rsidRPr="007C17A6">
        <w:rPr>
          <w:rFonts w:ascii="Times New Roman" w:hAnsi="Times New Roman" w:cs="Times New Roman"/>
          <w:sz w:val="24"/>
          <w:szCs w:val="24"/>
          <w:lang w:val="en-GB"/>
        </w:rPr>
        <w:t>WordType</w:t>
      </w:r>
      <w:proofErr w:type="spellEnd"/>
      <w:r w:rsidRPr="007C17A6">
        <w:rPr>
          <w:rFonts w:ascii="Times New Roman" w:hAnsi="Times New Roman" w:cs="Times New Roman"/>
          <w:noProof/>
          <w:sz w:val="24"/>
          <w:szCs w:val="24"/>
          <w:lang w:val="en-GB"/>
        </w:rPr>
        <w:t>”,</w:t>
      </w:r>
      <w:r w:rsidRPr="007C17A6">
        <w:rPr>
          <w:rFonts w:ascii="Times New Roman" w:hAnsi="Times New Roman" w:cs="Times New Roman"/>
          <w:sz w:val="24"/>
          <w:szCs w:val="24"/>
          <w:lang w:val="en-GB"/>
        </w:rPr>
        <w:t xml:space="preserve"> “</w:t>
      </w:r>
      <w:proofErr w:type="spellStart"/>
      <w:r w:rsidRPr="007C17A6">
        <w:rPr>
          <w:rFonts w:ascii="Times New Roman" w:hAnsi="Times New Roman" w:cs="Times New Roman"/>
          <w:sz w:val="24"/>
          <w:szCs w:val="24"/>
          <w:lang w:val="en-GB"/>
        </w:rPr>
        <w:t>TempFront</w:t>
      </w:r>
      <w:proofErr w:type="spellEnd"/>
      <w:r w:rsidRPr="007C17A6">
        <w:rPr>
          <w:rFonts w:ascii="Times New Roman" w:hAnsi="Times New Roman" w:cs="Times New Roman"/>
          <w:noProof/>
          <w:sz w:val="24"/>
          <w:szCs w:val="24"/>
          <w:lang w:val="en-GB"/>
        </w:rPr>
        <w:t>”,</w:t>
      </w:r>
      <w:r w:rsidRPr="007C17A6">
        <w:rPr>
          <w:rFonts w:ascii="Times New Roman" w:hAnsi="Times New Roman" w:cs="Times New Roman"/>
          <w:sz w:val="24"/>
          <w:szCs w:val="24"/>
          <w:lang w:val="en-GB"/>
        </w:rPr>
        <w:t xml:space="preserve"> “Areas</w:t>
      </w:r>
      <w:r w:rsidRPr="007C17A6">
        <w:rPr>
          <w:rFonts w:ascii="Times New Roman" w:hAnsi="Times New Roman" w:cs="Times New Roman"/>
          <w:noProof/>
          <w:sz w:val="24"/>
          <w:szCs w:val="24"/>
          <w:lang w:val="en-GB"/>
        </w:rPr>
        <w:t>”,</w:t>
      </w:r>
      <w:r w:rsidRPr="007C17A6">
        <w:rPr>
          <w:rFonts w:ascii="Times New Roman" w:hAnsi="Times New Roman" w:cs="Times New Roman"/>
          <w:sz w:val="24"/>
          <w:szCs w:val="24"/>
          <w:lang w:val="en-GB"/>
        </w:rPr>
        <w:t xml:space="preserve"> as described above. </w:t>
      </w:r>
    </w:p>
    <w:p w14:paraId="6714DA3A" w14:textId="77777777" w:rsidR="00A838DC" w:rsidRPr="007C17A6" w:rsidRDefault="00E5421A" w:rsidP="00E740D6">
      <w:pPr>
        <w:pStyle w:val="Heading1"/>
        <w:spacing w:line="240" w:lineRule="auto"/>
        <w:contextualSpacing/>
        <w:rPr>
          <w:rStyle w:val="Heading1Char"/>
          <w:rFonts w:ascii="Times New Roman" w:hAnsi="Times New Roman"/>
          <w:sz w:val="24"/>
          <w:szCs w:val="24"/>
        </w:rPr>
      </w:pPr>
      <w:r w:rsidRPr="007C17A6">
        <w:rPr>
          <w:rStyle w:val="Heading1Char"/>
          <w:rFonts w:ascii="Times New Roman" w:hAnsi="Times New Roman"/>
          <w:sz w:val="24"/>
          <w:szCs w:val="24"/>
        </w:rPr>
        <w:t>Results</w:t>
      </w:r>
    </w:p>
    <w:p w14:paraId="2604DAF5" w14:textId="77777777" w:rsidR="00A838DC" w:rsidRPr="007C17A6" w:rsidRDefault="00E5421A" w:rsidP="00E740D6">
      <w:pPr>
        <w:pStyle w:val="Heading2"/>
        <w:spacing w:line="240" w:lineRule="auto"/>
        <w:contextualSpacing/>
        <w:rPr>
          <w:rStyle w:val="Heading1Char"/>
          <w:rFonts w:ascii="Times New Roman" w:hAnsi="Times New Roman" w:cs="Times New Roman"/>
          <w:color w:val="auto"/>
          <w:sz w:val="24"/>
          <w:szCs w:val="24"/>
        </w:rPr>
      </w:pPr>
      <w:r w:rsidRPr="007C17A6">
        <w:rPr>
          <w:rStyle w:val="Heading1Char"/>
          <w:rFonts w:ascii="Times New Roman" w:hAnsi="Times New Roman" w:cs="Times New Roman"/>
          <w:color w:val="auto"/>
          <w:sz w:val="24"/>
          <w:szCs w:val="24"/>
        </w:rPr>
        <w:t>Word learning results</w:t>
      </w:r>
    </w:p>
    <w:p w14:paraId="2350B475" w14:textId="4BFA5095" w:rsidR="00A838DC" w:rsidRPr="007C17A6" w:rsidRDefault="00E5421A" w:rsidP="0077421C">
      <w:pPr>
        <w:spacing w:before="120" w:after="120" w:line="240" w:lineRule="auto"/>
        <w:contextualSpacing/>
        <w:jc w:val="both"/>
        <w:rPr>
          <w:rFonts w:ascii="Times New Roman" w:hAnsi="Times New Roman" w:cs="Times New Roman"/>
          <w:sz w:val="24"/>
          <w:szCs w:val="24"/>
          <w:lang w:val="en-GB"/>
        </w:rPr>
      </w:pPr>
      <w:r w:rsidRPr="007C17A6">
        <w:rPr>
          <w:rFonts w:ascii="Times New Roman" w:hAnsi="Times New Roman" w:cs="Times New Roman"/>
          <w:color w:val="000000" w:themeColor="text1"/>
          <w:sz w:val="24"/>
          <w:szCs w:val="24"/>
          <w:lang w:val="en-GB"/>
        </w:rPr>
        <w:t xml:space="preserve">Twelve different instances of spiking networks were </w:t>
      </w:r>
      <w:r w:rsidRPr="007C17A6">
        <w:rPr>
          <w:rFonts w:ascii="Times New Roman" w:hAnsi="Times New Roman" w:cs="Times New Roman"/>
          <w:noProof/>
          <w:color w:val="000000" w:themeColor="text1"/>
          <w:sz w:val="24"/>
          <w:szCs w:val="24"/>
          <w:lang w:val="en-GB"/>
        </w:rPr>
        <w:t>initiali</w:t>
      </w:r>
      <w:r w:rsidR="0052370F" w:rsidRPr="007C17A6">
        <w:rPr>
          <w:rFonts w:ascii="Times New Roman" w:hAnsi="Times New Roman" w:cs="Times New Roman"/>
          <w:noProof/>
          <w:color w:val="000000" w:themeColor="text1"/>
          <w:sz w:val="24"/>
          <w:szCs w:val="24"/>
          <w:lang w:val="en-GB"/>
        </w:rPr>
        <w:t>z</w:t>
      </w:r>
      <w:r w:rsidRPr="007C17A6">
        <w:rPr>
          <w:rFonts w:ascii="Times New Roman" w:hAnsi="Times New Roman" w:cs="Times New Roman"/>
          <w:noProof/>
          <w:color w:val="000000" w:themeColor="text1"/>
          <w:sz w:val="24"/>
          <w:szCs w:val="24"/>
          <w:lang w:val="en-GB"/>
        </w:rPr>
        <w:t>ed</w:t>
      </w:r>
      <w:r w:rsidRPr="007C17A6">
        <w:rPr>
          <w:rFonts w:ascii="Times New Roman" w:hAnsi="Times New Roman" w:cs="Times New Roman"/>
          <w:color w:val="000000" w:themeColor="text1"/>
          <w:sz w:val="24"/>
          <w:szCs w:val="24"/>
          <w:lang w:val="en-GB"/>
        </w:rPr>
        <w:t xml:space="preserve"> at random having the same architecture as described above (Fig 1.B), providing </w:t>
      </w:r>
      <w:r w:rsidRPr="007C17A6">
        <w:rPr>
          <w:rFonts w:ascii="Times New Roman" w:hAnsi="Times New Roman" w:cs="Times New Roman"/>
          <w:noProof/>
          <w:color w:val="000000" w:themeColor="text1"/>
          <w:sz w:val="24"/>
          <w:szCs w:val="24"/>
          <w:lang w:val="en-GB"/>
        </w:rPr>
        <w:t>analog</w:t>
      </w:r>
      <w:r w:rsidR="0052370F" w:rsidRPr="007C17A6">
        <w:rPr>
          <w:rFonts w:ascii="Times New Roman" w:hAnsi="Times New Roman" w:cs="Times New Roman"/>
          <w:noProof/>
          <w:color w:val="000000" w:themeColor="text1"/>
          <w:sz w:val="24"/>
          <w:szCs w:val="24"/>
          <w:lang w:val="en-GB"/>
        </w:rPr>
        <w:t>ue</w:t>
      </w:r>
      <w:r w:rsidRPr="007C17A6">
        <w:rPr>
          <w:rFonts w:ascii="Times New Roman" w:hAnsi="Times New Roman" w:cs="Times New Roman"/>
          <w:noProof/>
          <w:color w:val="000000" w:themeColor="text1"/>
          <w:sz w:val="24"/>
          <w:szCs w:val="24"/>
          <w:lang w:val="en-GB"/>
        </w:rPr>
        <w:t>s</w:t>
      </w:r>
      <w:r w:rsidRPr="007C17A6">
        <w:rPr>
          <w:rFonts w:ascii="Times New Roman" w:hAnsi="Times New Roman" w:cs="Times New Roman"/>
          <w:color w:val="000000" w:themeColor="text1"/>
          <w:sz w:val="24"/>
          <w:szCs w:val="24"/>
          <w:lang w:val="en-GB"/>
        </w:rPr>
        <w:t xml:space="preserve"> of 12 human subjects in a word learning experiment. Word-meaning acquisition was then simulated under the impact of repeated sensorimotor pattern presentations, in the 3 of the </w:t>
      </w:r>
      <w:r w:rsidRPr="007C17A6">
        <w:rPr>
          <w:rFonts w:ascii="Times New Roman" w:hAnsi="Times New Roman" w:cs="Times New Roman"/>
          <w:noProof/>
          <w:color w:val="000000" w:themeColor="text1"/>
          <w:sz w:val="24"/>
          <w:szCs w:val="24"/>
          <w:lang w:val="en-GB"/>
        </w:rPr>
        <w:t>4</w:t>
      </w:r>
      <w:r w:rsidRPr="007C17A6">
        <w:rPr>
          <w:rFonts w:ascii="Times New Roman" w:hAnsi="Times New Roman" w:cs="Times New Roman"/>
          <w:color w:val="000000" w:themeColor="text1"/>
          <w:sz w:val="24"/>
          <w:szCs w:val="24"/>
          <w:lang w:val="en-GB"/>
        </w:rPr>
        <w:t xml:space="preserve"> sub-systems (see Fig 2), by co-activating specific neurons in their respective primary cortex. </w:t>
      </w:r>
      <w:r w:rsidRPr="007C17A6">
        <w:rPr>
          <w:rFonts w:ascii="Times New Roman" w:hAnsi="Times New Roman" w:cs="Times New Roman"/>
          <w:sz w:val="24"/>
          <w:szCs w:val="24"/>
          <w:lang w:val="en-GB"/>
        </w:rPr>
        <w:t>The cells activated in M1</w:t>
      </w:r>
      <w:r w:rsidRPr="007C17A6">
        <w:rPr>
          <w:rFonts w:ascii="Times New Roman" w:hAnsi="Times New Roman" w:cs="Times New Roman"/>
          <w:sz w:val="24"/>
          <w:szCs w:val="24"/>
          <w:vertAlign w:val="subscript"/>
          <w:lang w:val="en-GB"/>
        </w:rPr>
        <w:t>i</w:t>
      </w:r>
      <w:r w:rsidRPr="007C17A6">
        <w:rPr>
          <w:rFonts w:ascii="Times New Roman" w:hAnsi="Times New Roman" w:cs="Times New Roman"/>
          <w:sz w:val="24"/>
          <w:szCs w:val="24"/>
          <w:lang w:val="en-GB"/>
        </w:rPr>
        <w:t xml:space="preserve"> and A1 represented articulatory and acoustic-phonetic features by which spoken words </w:t>
      </w:r>
      <w:r w:rsidRPr="007C17A6">
        <w:rPr>
          <w:rFonts w:ascii="Times New Roman" w:hAnsi="Times New Roman" w:cs="Times New Roman"/>
          <w:noProof/>
          <w:sz w:val="24"/>
          <w:szCs w:val="24"/>
          <w:lang w:val="en-GB"/>
        </w:rPr>
        <w:t>are typically characteri</w:t>
      </w:r>
      <w:r w:rsidR="0052370F" w:rsidRPr="007C17A6">
        <w:rPr>
          <w:rFonts w:ascii="Times New Roman" w:hAnsi="Times New Roman" w:cs="Times New Roman"/>
          <w:noProof/>
          <w:sz w:val="24"/>
          <w:szCs w:val="24"/>
          <w:lang w:val="en-GB"/>
        </w:rPr>
        <w:t>z</w:t>
      </w:r>
      <w:r w:rsidRPr="007C17A6">
        <w:rPr>
          <w:rFonts w:ascii="Times New Roman" w:hAnsi="Times New Roman" w:cs="Times New Roman"/>
          <w:noProof/>
          <w:sz w:val="24"/>
          <w:szCs w:val="24"/>
          <w:lang w:val="en-GB"/>
        </w:rPr>
        <w:t>ed</w:t>
      </w:r>
      <w:r w:rsidRPr="007C17A6">
        <w:rPr>
          <w:rFonts w:ascii="Times New Roman" w:hAnsi="Times New Roman" w:cs="Times New Roman"/>
          <w:sz w:val="24"/>
          <w:szCs w:val="24"/>
          <w:lang w:val="en-GB"/>
        </w:rPr>
        <w:t>, while those presented to V1 and M1</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xml:space="preserve"> simulated visually-related and action-related semantic features.</w:t>
      </w:r>
      <w:r w:rsidRPr="007C17A6">
        <w:rPr>
          <w:rFonts w:ascii="Times New Roman" w:hAnsi="Times New Roman" w:cs="Times New Roman"/>
          <w:color w:val="000000" w:themeColor="text1"/>
          <w:sz w:val="24"/>
          <w:szCs w:val="24"/>
          <w:lang w:val="en-GB"/>
        </w:rPr>
        <w:t xml:space="preserve"> </w:t>
      </w:r>
      <w:r w:rsidRPr="007C17A6">
        <w:rPr>
          <w:rFonts w:ascii="Times New Roman" w:hAnsi="Times New Roman" w:cs="Times New Roman"/>
          <w:noProof/>
          <w:sz w:val="24"/>
          <w:szCs w:val="24"/>
          <w:lang w:val="en-GB"/>
        </w:rPr>
        <w:t>This</w:t>
      </w:r>
      <w:r w:rsidRPr="007C17A6">
        <w:rPr>
          <w:rFonts w:ascii="Times New Roman" w:hAnsi="Times New Roman" w:cs="Times New Roman"/>
          <w:sz w:val="24"/>
          <w:szCs w:val="24"/>
          <w:lang w:val="en-GB"/>
        </w:rPr>
        <w:t xml:space="preserve"> </w:t>
      </w:r>
      <w:r w:rsidR="00F84489" w:rsidRPr="007C17A6">
        <w:rPr>
          <w:rFonts w:ascii="Times New Roman" w:hAnsi="Times New Roman" w:cs="Times New Roman"/>
          <w:sz w:val="24"/>
          <w:szCs w:val="24"/>
          <w:lang w:val="en-GB"/>
        </w:rPr>
        <w:t xml:space="preserve">simulates associative </w:t>
      </w:r>
      <w:r w:rsidRPr="007C17A6">
        <w:rPr>
          <w:rFonts w:ascii="Times New Roman" w:hAnsi="Times New Roman" w:cs="Times New Roman"/>
          <w:sz w:val="24"/>
          <w:szCs w:val="24"/>
          <w:lang w:val="en-GB"/>
        </w:rPr>
        <w:t xml:space="preserve">learning of </w:t>
      </w:r>
      <w:r w:rsidRPr="007C17A6">
        <w:rPr>
          <w:rFonts w:ascii="Times New Roman" w:hAnsi="Times New Roman" w:cs="Times New Roman"/>
          <w:noProof/>
          <w:sz w:val="24"/>
          <w:szCs w:val="24"/>
          <w:lang w:val="en-GB"/>
        </w:rPr>
        <w:t>object-related</w:t>
      </w:r>
      <w:r w:rsidRPr="007C17A6">
        <w:rPr>
          <w:rFonts w:ascii="Times New Roman" w:hAnsi="Times New Roman" w:cs="Times New Roman"/>
          <w:sz w:val="24"/>
          <w:szCs w:val="24"/>
          <w:lang w:val="en-GB"/>
        </w:rPr>
        <w:t xml:space="preserve"> word, whereby the word </w:t>
      </w:r>
      <w:r w:rsidRPr="007C17A6">
        <w:rPr>
          <w:rFonts w:ascii="Times New Roman" w:hAnsi="Times New Roman" w:cs="Times New Roman"/>
          <w:noProof/>
          <w:sz w:val="24"/>
          <w:szCs w:val="24"/>
          <w:lang w:val="en-GB"/>
        </w:rPr>
        <w:t>is uttered</w:t>
      </w:r>
      <w:r w:rsidRPr="007C17A6">
        <w:rPr>
          <w:rFonts w:ascii="Times New Roman" w:hAnsi="Times New Roman" w:cs="Times New Roman"/>
          <w:sz w:val="24"/>
          <w:szCs w:val="24"/>
          <w:lang w:val="en-GB"/>
        </w:rPr>
        <w:t xml:space="preserve"> while the referent object is present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"10.1037/a0016134", "ISBN" : "1939-0599 (Electronic)\\r0012-1649 (Linking)", "ISSN" : "1939-0599", "PMID" : "19899918", "abstract" : "In everyday word learning words are only sometimes heard in the presence of their referent, making the acquisition of novel words a particularly challenging task. The current study investigated whether children (18-month-olds who are novice word learners) can track the statistics of co-occurrence between words and objects to learn novel mappings in a stochastic environment. Infants were briefly trained on novel word-novel object pairs with variable degrees of co-occurrence: Words were either paired reliably with 1 referent or stochastically paired with 2 different referents with varying probabilities. Infants were sensitive to the co-occurrence statistics between words and referents, tracking not just the strongest available contingency but also low-frequency information. The statistical strength of the word-referent mapping may also modulate real-time online lexical processing in infants. Infants are thus able to track stochastic relationships between words and referents in the process of learning novel words.", "author" : [ { "dropping-particle" : "", "family" : "Vouloumanos", "given" : "Athena", "non-dropping-particle" : "", "parse-names" : false, "suffix" : "" }, { "dropping-particle" : "", "family" : "Werker", "given" : "Janet F", "non-dropping-particle" : "", "parse-names" : false, "suffix" : "" } ], "container-title" : "Developmental psychology", "edition" : "2009/11/11", "id" : "ITEM-1", "issue" : "6", "issued" : { "date-parts" : [ [ "2009" ] ] }, "language" : "eng", "note" : "Vouloumanos, Athena\nWerker, Janet F\nCanadian Institutes of Health Research/Canada\nDev Psychol. 2009 Nov;45(6):1611-7. doi: 10.1037/a0016134.", "page" : "1611-7", "title" : "Infants' learning of novel words in a stochastic environment.", "type" : "article-journal", "volume" : "45" }, "uris" : [ "http://www.mendeley.com/documents/?uuid=e5881df1-e963-4274-a5de-534dfcfed43c" ] } ], "mendeley" : { "formattedCitation" : "(Vouloumanos and Werker, 2009)", "plainTextFormattedCitation" : "(Vouloumanos and Werker, 2009)", "previouslyFormattedCitation" : "(Vouloumanos and Werker, 2009)" }, "properties" : {  }, "schema" : "https://github.com/citation-style-language/schema/raw/master/csl-citation.json" }</w:instrText>
      </w:r>
      <w:r w:rsidRPr="007C17A6">
        <w:rPr>
          <w:rFonts w:ascii="Times New Roman" w:hAnsi="Times New Roman" w:cs="Times New Roman"/>
        </w:rPr>
        <w:fldChar w:fldCharType="separate"/>
      </w:r>
      <w:bookmarkStart w:id="129" w:name="__Fieldmark__1487_1687356023"/>
      <w:r w:rsidR="00C00A10" w:rsidRPr="007C17A6">
        <w:rPr>
          <w:rFonts w:ascii="Times New Roman" w:hAnsi="Times New Roman" w:cs="Times New Roman"/>
          <w:noProof/>
          <w:sz w:val="24"/>
          <w:szCs w:val="24"/>
          <w:lang w:val="en-GB"/>
        </w:rPr>
        <w:t>(Vouloumanos and Werker, 2009)</w:t>
      </w:r>
      <w:r w:rsidRPr="007C17A6">
        <w:rPr>
          <w:rFonts w:ascii="Times New Roman" w:hAnsi="Times New Roman" w:cs="Times New Roman"/>
        </w:rPr>
        <w:fldChar w:fldCharType="end"/>
      </w:r>
      <w:bookmarkEnd w:id="129"/>
      <w:r w:rsidRPr="007C17A6">
        <w:rPr>
          <w:rFonts w:ascii="Times New Roman" w:hAnsi="Times New Roman" w:cs="Times New Roman"/>
          <w:sz w:val="24"/>
          <w:szCs w:val="24"/>
          <w:lang w:val="en-GB"/>
        </w:rPr>
        <w:t xml:space="preserve"> or the related action is </w:t>
      </w:r>
      <w:r w:rsidRPr="007C17A6">
        <w:rPr>
          <w:rFonts w:ascii="Times New Roman" w:hAnsi="Times New Roman" w:cs="Times New Roman"/>
          <w:noProof/>
          <w:sz w:val="24"/>
          <w:szCs w:val="24"/>
          <w:lang w:val="en-GB"/>
        </w:rPr>
        <w:t>being performed</w:t>
      </w:r>
      <w:r w:rsidRPr="007C17A6">
        <w:rPr>
          <w:rFonts w:ascii="Times New Roman" w:hAnsi="Times New Roman" w:cs="Times New Roman"/>
          <w:sz w:val="24"/>
          <w:szCs w:val="24"/>
          <w:lang w:val="en-GB"/>
        </w:rPr>
        <w:t xml:space="preserve">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"10.1017/S0305000900011430", "ISBN" : "0305-0009 (Print); 1469-7602 (Electronic)", "ISSN" : "0305-0009", "PMID" : "1527205", "abstract" : "Two studies of verb learning are reported. The focus of both studies was on children in their second year of life learning verbs in various pragmatic contexts. Of particular interest was the comparison of ostensive contexts--in which word and referent were simultaneously present in the child's perceptual field--to non-ostensive contexts. In a naturalistic study of 24 children at 1;3 and 1;9, it was found that mothers modelled verbs for their children most often BEFORE the referent action actually occurred. Over 60% of maternal verbs were used to refer to actions that mothers wished children to perform or that they were anticipating their performing (IMPENDING actions). Some verbs were also used to refer to current actions (ONGOING actions) or actions that had just been completed (COMPLETED actions). Children responded with comprehension most often to impending models. Impending and completed models, but not ongoing models, were correlated with children's verb vocabularies at 1;9. The second study was a lexical training study of 48 two-year-olds. Children learned to produce a novel verb best when it was modelled in the impending condition. They learned to comprehend it equally well in the impending and completed conditions. Children showed no signs of superior learning in the ostensive (ongoing) learning context. Results of the two studies are discussed in terms of the different learning processes involved in acquiring nouns and verbs, and, more broadly, in terms of a social-pragmatic view of language acquisition in which the ostensive teaching paradigm is but one of many contexts in which children learn to establish a joint attentional focus with mature language users.", "author" : [ { "dropping-particle" : "", "family" : "Tomasello", "given" : "Michael", "non-dropping-particle" : "", "parse-names" : false, "suffix" : "" }, { "dropping-particle" : "", "family" : "Kruger", "given" : "Ann Cale", "non-dropping-particle" : "", "parse-names" : false, "suffix" : "" } ], "container-title" : "Journal of child language", "id" : "ITEM-1", "issue" : "2", "issued" : { "date-parts" : [ [ "1992" ] ] }, "note" : "Reprint Status:  In File", "page" : "311-333", "title" : "Joint attention on actions: acquiring verbs in ostensive and non-ostensive contexts.", "type" : "article-journal", "volume" : "19" }, "uris" : [ "http://www.mendeley.com/documents/?uuid=70cced4f-3157-467c-84b8-87444866ec9a" ] } ], "mendeley" : { "formattedCitation" : "(Tomasello and Kruger, 1992)", "plainTextFormattedCitation" : "(Tomasello and Kruger, 1992)", "previouslyFormattedCitation" : "(Tomasello and Kruger, 1992)" }, "properties" : {  }, "schema" : "https://github.com/citation-style-language/schema/raw/master/csl-citation.json" }</w:instrText>
      </w:r>
      <w:r w:rsidRPr="007C17A6">
        <w:rPr>
          <w:rFonts w:ascii="Times New Roman" w:hAnsi="Times New Roman" w:cs="Times New Roman"/>
        </w:rPr>
        <w:fldChar w:fldCharType="separate"/>
      </w:r>
      <w:bookmarkStart w:id="130" w:name="__Fieldmark__1492_1687356023"/>
      <w:r w:rsidR="00C00A10" w:rsidRPr="007C17A6">
        <w:rPr>
          <w:rFonts w:ascii="Times New Roman" w:hAnsi="Times New Roman" w:cs="Times New Roman"/>
          <w:noProof/>
          <w:sz w:val="24"/>
          <w:szCs w:val="24"/>
          <w:lang w:val="en-GB"/>
        </w:rPr>
        <w:t>(Tomasello and Kruger, 1992)</w:t>
      </w:r>
      <w:r w:rsidRPr="007C17A6">
        <w:rPr>
          <w:rFonts w:ascii="Times New Roman" w:hAnsi="Times New Roman" w:cs="Times New Roman"/>
        </w:rPr>
        <w:fldChar w:fldCharType="end"/>
      </w:r>
      <w:bookmarkEnd w:id="130"/>
      <w:r w:rsidRPr="007C17A6">
        <w:rPr>
          <w:rFonts w:ascii="Times New Roman" w:hAnsi="Times New Roman" w:cs="Times New Roman"/>
          <w:sz w:val="24"/>
          <w:szCs w:val="24"/>
          <w:lang w:val="en-GB"/>
        </w:rPr>
        <w:t xml:space="preserve">. While </w:t>
      </w:r>
      <w:r w:rsidR="00136E73" w:rsidRPr="007C17A6">
        <w:rPr>
          <w:rFonts w:ascii="Times New Roman" w:hAnsi="Times New Roman" w:cs="Times New Roman"/>
          <w:noProof/>
          <w:sz w:val="24"/>
          <w:szCs w:val="24"/>
          <w:lang w:val="en-GB"/>
        </w:rPr>
        <w:t>each learning pattern directly activated three primary areas</w:t>
      </w:r>
      <w:r w:rsidRPr="007C17A6">
        <w:rPr>
          <w:rFonts w:ascii="Times New Roman" w:hAnsi="Times New Roman" w:cs="Times New Roman"/>
          <w:sz w:val="24"/>
          <w:szCs w:val="24"/>
          <w:lang w:val="en-GB"/>
        </w:rPr>
        <w:t xml:space="preserve">, the fourth </w:t>
      </w:r>
      <w:r w:rsidR="00F84489" w:rsidRPr="007C17A6">
        <w:rPr>
          <w:rFonts w:ascii="Times New Roman" w:hAnsi="Times New Roman" w:cs="Times New Roman"/>
          <w:sz w:val="24"/>
          <w:szCs w:val="24"/>
          <w:lang w:val="en-GB"/>
        </w:rPr>
        <w:t>unrelated</w:t>
      </w:r>
      <w:r w:rsidRPr="007C17A6">
        <w:rPr>
          <w:rFonts w:ascii="Times New Roman" w:hAnsi="Times New Roman" w:cs="Times New Roman"/>
          <w:sz w:val="24"/>
          <w:szCs w:val="24"/>
          <w:lang w:val="en-GB"/>
        </w:rPr>
        <w:t xml:space="preserve"> area (M1</w:t>
      </w:r>
      <w:r w:rsidRPr="007C17A6">
        <w:rPr>
          <w:rFonts w:ascii="Times New Roman" w:hAnsi="Times New Roman" w:cs="Times New Roman"/>
          <w:sz w:val="24"/>
          <w:szCs w:val="24"/>
          <w:vertAlign w:val="subscript"/>
          <w:lang w:val="en-GB"/>
        </w:rPr>
        <w:t>i</w:t>
      </w:r>
      <w:r w:rsidRPr="007C17A6">
        <w:rPr>
          <w:rFonts w:ascii="Times New Roman" w:hAnsi="Times New Roman" w:cs="Times New Roman"/>
          <w:sz w:val="24"/>
          <w:szCs w:val="24"/>
          <w:lang w:val="en-GB"/>
        </w:rPr>
        <w:t xml:space="preserve"> for object- and V1 for action-related words) received </w:t>
      </w:r>
      <w:r w:rsidR="00F84489" w:rsidRPr="007C17A6">
        <w:rPr>
          <w:rFonts w:ascii="Times New Roman" w:hAnsi="Times New Roman" w:cs="Times New Roman"/>
          <w:sz w:val="24"/>
          <w:szCs w:val="24"/>
          <w:lang w:val="en-GB"/>
        </w:rPr>
        <w:t>further</w:t>
      </w:r>
      <w:r w:rsidRPr="007C17A6">
        <w:rPr>
          <w:rFonts w:ascii="Times New Roman" w:hAnsi="Times New Roman" w:cs="Times New Roman"/>
          <w:sz w:val="24"/>
          <w:szCs w:val="24"/>
          <w:lang w:val="en-GB"/>
        </w:rPr>
        <w:t xml:space="preserve"> </w:t>
      </w:r>
      <w:r w:rsidR="00F84489" w:rsidRPr="007C17A6">
        <w:rPr>
          <w:rFonts w:ascii="Times New Roman" w:hAnsi="Times New Roman" w:cs="Times New Roman"/>
          <w:sz w:val="24"/>
          <w:szCs w:val="24"/>
          <w:lang w:val="en-GB"/>
        </w:rPr>
        <w:t>uncorrelated</w:t>
      </w:r>
      <w:r w:rsidRPr="007C17A6">
        <w:rPr>
          <w:rFonts w:ascii="Times New Roman" w:hAnsi="Times New Roman" w:cs="Times New Roman"/>
          <w:sz w:val="24"/>
          <w:szCs w:val="24"/>
          <w:lang w:val="en-GB"/>
        </w:rPr>
        <w:t xml:space="preserve"> noise pattern input that changed inconsistently over learning episodes. This aimed at ensuring that the correlation between word-form activity in perisylvian cortex and semantic information was high in one modality (for action /object words, in motor and visual systems respectively) but low in the non-relevant one. </w:t>
      </w:r>
    </w:p>
    <w:p w14:paraId="6427F79D" w14:textId="77777777" w:rsidR="00E740D6" w:rsidRPr="007C17A6" w:rsidRDefault="00E740D6" w:rsidP="00E740D6">
      <w:pPr>
        <w:spacing w:before="120" w:after="120" w:line="240" w:lineRule="auto"/>
        <w:ind w:firstLine="288"/>
        <w:contextualSpacing/>
        <w:jc w:val="both"/>
        <w:rPr>
          <w:rFonts w:ascii="Times New Roman" w:hAnsi="Times New Roman" w:cs="Times New Roman"/>
        </w:rPr>
      </w:pPr>
    </w:p>
    <w:p w14:paraId="7A3E8D11" w14:textId="27835BD0" w:rsidR="004E1865" w:rsidRPr="007C17A6" w:rsidRDefault="00A84992" w:rsidP="0077421C">
      <w:pPr>
        <w:spacing w:before="120" w:after="240" w:line="240" w:lineRule="auto"/>
        <w:contextualSpacing/>
        <w:jc w:val="both"/>
        <w:rPr>
          <w:rFonts w:ascii="Times New Roman" w:eastAsia="Times New Roman" w:hAnsi="Times New Roman" w:cs="Times New Roman"/>
          <w:color w:val="000000" w:themeColor="text1"/>
          <w:sz w:val="24"/>
          <w:szCs w:val="24"/>
          <w:shd w:val="clear" w:color="auto" w:fill="FFFFFF"/>
          <w:lang w:eastAsia="it-IT"/>
        </w:rPr>
      </w:pPr>
      <w:r w:rsidRPr="007C17A6">
        <w:rPr>
          <w:rFonts w:ascii="Times New Roman" w:eastAsia="Times New Roman" w:hAnsi="Times New Roman" w:cs="Times New Roman"/>
          <w:color w:val="000000" w:themeColor="text1"/>
          <w:sz w:val="24"/>
          <w:szCs w:val="24"/>
          <w:shd w:val="clear" w:color="auto" w:fill="FFFFFF"/>
          <w:lang w:eastAsia="it-IT"/>
        </w:rPr>
        <w:t xml:space="preserve">Cell assemblies gradually emerged as a consequence of learning </w:t>
      </w:r>
      <w:r w:rsidR="00E5421A" w:rsidRPr="007C17A6">
        <w:rPr>
          <w:rFonts w:ascii="Times New Roman" w:eastAsia="Times New Roman" w:hAnsi="Times New Roman" w:cs="Times New Roman"/>
          <w:color w:val="000000" w:themeColor="text1"/>
          <w:sz w:val="24"/>
          <w:szCs w:val="24"/>
          <w:shd w:val="clear" w:color="auto" w:fill="FFFFFF"/>
          <w:lang w:eastAsia="it-IT"/>
        </w:rPr>
        <w:t>with different assemblies responding to different input patterns.</w:t>
      </w:r>
      <w:r w:rsidR="00E5421A" w:rsidRPr="007C17A6">
        <w:rPr>
          <w:rFonts w:ascii="Times New Roman" w:hAnsi="Times New Roman" w:cs="Times New Roman"/>
          <w:color w:val="000000" w:themeColor="text1"/>
          <w:sz w:val="24"/>
          <w:szCs w:val="24"/>
          <w:lang w:val="en-GB"/>
        </w:rPr>
        <w:t xml:space="preserve"> These neural circuits spanned different areas, linking up word-forms in the </w:t>
      </w:r>
      <w:r w:rsidR="00E5421A" w:rsidRPr="007C17A6">
        <w:rPr>
          <w:rFonts w:ascii="Times New Roman" w:hAnsi="Times New Roman" w:cs="Times New Roman"/>
          <w:noProof/>
          <w:color w:val="000000" w:themeColor="text1"/>
          <w:sz w:val="24"/>
          <w:szCs w:val="24"/>
          <w:lang w:val="en-GB"/>
        </w:rPr>
        <w:t>auditory</w:t>
      </w:r>
      <w:r w:rsidRPr="007C17A6">
        <w:rPr>
          <w:rFonts w:ascii="Times New Roman" w:hAnsi="Times New Roman" w:cs="Times New Roman"/>
          <w:color w:val="000000" w:themeColor="text1"/>
          <w:sz w:val="24"/>
          <w:szCs w:val="24"/>
          <w:lang w:val="en-GB"/>
        </w:rPr>
        <w:t xml:space="preserve"> and articulatory sub-systems </w:t>
      </w:r>
      <w:r w:rsidR="00E5421A" w:rsidRPr="007C17A6">
        <w:rPr>
          <w:rFonts w:ascii="Times New Roman" w:hAnsi="Times New Roman" w:cs="Times New Roman"/>
          <w:color w:val="000000" w:themeColor="text1"/>
          <w:sz w:val="24"/>
          <w:szCs w:val="24"/>
          <w:lang w:val="en-GB"/>
        </w:rPr>
        <w:t xml:space="preserve">with referential-semantic information in the </w:t>
      </w:r>
      <w:r w:rsidRPr="007C17A6">
        <w:rPr>
          <w:rFonts w:ascii="Times New Roman" w:hAnsi="Times New Roman" w:cs="Times New Roman"/>
          <w:color w:val="000000" w:themeColor="text1"/>
          <w:sz w:val="24"/>
          <w:szCs w:val="24"/>
          <w:lang w:val="en-GB"/>
        </w:rPr>
        <w:t>visual and motor sub-systems</w:t>
      </w:r>
      <w:r w:rsidR="00E5421A" w:rsidRPr="007C17A6">
        <w:rPr>
          <w:rFonts w:ascii="Times New Roman" w:hAnsi="Times New Roman" w:cs="Times New Roman"/>
          <w:color w:val="000000" w:themeColor="text1"/>
          <w:sz w:val="24"/>
          <w:szCs w:val="24"/>
          <w:lang w:val="en-GB"/>
        </w:rPr>
        <w:t>. Fig 2 illustrates 6 of the 12 CA-distributions emerging across the novel spiking network along with the sensorimotor pattern presented as input during learning. Each set of 12 squares is a snapshot of a dist</w:t>
      </w:r>
      <w:r w:rsidR="00D54BE4" w:rsidRPr="007C17A6">
        <w:rPr>
          <w:rFonts w:ascii="Times New Roman" w:hAnsi="Times New Roman" w:cs="Times New Roman"/>
          <w:color w:val="000000" w:themeColor="text1"/>
          <w:sz w:val="24"/>
          <w:szCs w:val="24"/>
          <w:lang w:val="en-GB"/>
        </w:rPr>
        <w:t>ributed word-related CA circuit</w:t>
      </w:r>
      <w:r w:rsidR="00E5421A" w:rsidRPr="007C17A6">
        <w:rPr>
          <w:rFonts w:ascii="Times New Roman" w:hAnsi="Times New Roman" w:cs="Times New Roman"/>
          <w:color w:val="000000" w:themeColor="text1"/>
          <w:sz w:val="24"/>
          <w:szCs w:val="24"/>
          <w:lang w:val="en-GB"/>
        </w:rPr>
        <w:t xml:space="preserve"> across the network areas; 3 for object-related words (A) and 3 for action-related (B) words of one network instance (the other simulated networks exhibited similar results). Each white pixel in the squares represents an active cell of the CA.</w:t>
      </w:r>
      <w:r w:rsidR="00E5421A" w:rsidRPr="007C17A6">
        <w:rPr>
          <w:rFonts w:ascii="Times New Roman" w:hAnsi="Times New Roman" w:cs="Times New Roman"/>
          <w:color w:val="000000" w:themeColor="text1"/>
          <w:lang w:val="en-GB"/>
        </w:rPr>
        <w:t xml:space="preserve"> </w:t>
      </w:r>
    </w:p>
    <w:p w14:paraId="58CDB89B" w14:textId="77777777" w:rsidR="00E740D6" w:rsidRPr="007C17A6" w:rsidRDefault="00E740D6" w:rsidP="00E740D6">
      <w:pPr>
        <w:spacing w:before="120" w:after="240" w:line="240" w:lineRule="auto"/>
        <w:ind w:firstLine="289"/>
        <w:contextualSpacing/>
        <w:jc w:val="both"/>
        <w:rPr>
          <w:rFonts w:ascii="Times New Roman" w:hAnsi="Times New Roman" w:cs="Times New Roman"/>
          <w:color w:val="000000" w:themeColor="text1"/>
          <w:lang w:val="en-GB"/>
        </w:rPr>
      </w:pPr>
    </w:p>
    <w:p w14:paraId="708FFE25" w14:textId="552C9915" w:rsidR="00A4573A" w:rsidRPr="007C17A6" w:rsidRDefault="00A4573A" w:rsidP="00E740D6">
      <w:pPr>
        <w:spacing w:before="120" w:after="240" w:line="240" w:lineRule="auto"/>
        <w:contextualSpacing/>
        <w:jc w:val="both"/>
        <w:rPr>
          <w:rFonts w:ascii="Times New Roman" w:hAnsi="Times New Roman" w:cs="Times New Roman"/>
          <w:sz w:val="24"/>
          <w:szCs w:val="24"/>
          <w:lang w:val="en-GB"/>
        </w:rPr>
      </w:pPr>
      <w:r w:rsidRPr="007C17A6">
        <w:rPr>
          <w:rFonts w:ascii="Times New Roman" w:hAnsi="Times New Roman" w:cs="Times New Roman"/>
          <w:sz w:val="24"/>
          <w:szCs w:val="24"/>
          <w:lang w:val="en-GB"/>
        </w:rPr>
        <w:t xml:space="preserve">The CA circuits in Fig 2 show roughly the same spread across the perisylvian areas for </w:t>
      </w:r>
      <w:r w:rsidRPr="007C17A6">
        <w:rPr>
          <w:rFonts w:ascii="Times New Roman" w:hAnsi="Times New Roman" w:cs="Times New Roman"/>
          <w:noProof/>
          <w:sz w:val="24"/>
          <w:szCs w:val="24"/>
          <w:lang w:val="en-GB"/>
        </w:rPr>
        <w:t>object</w:t>
      </w:r>
      <w:r w:rsidRPr="007C17A6">
        <w:rPr>
          <w:rFonts w:ascii="Times New Roman" w:hAnsi="Times New Roman" w:cs="Times New Roman"/>
          <w:sz w:val="24"/>
          <w:szCs w:val="24"/>
          <w:lang w:val="en-GB"/>
        </w:rPr>
        <w:t xml:space="preserve"> and action-related words. By contrast, the visual and motor sub-systems of the extrasylvian cortex appear to show a different pattern of CA cell distribution, namely a double dissociation, i.e. object-related words seemed to extend more to the visual areas (V1, </w:t>
      </w:r>
      <w:r w:rsidRPr="007C17A6">
        <w:rPr>
          <w:rFonts w:ascii="Times New Roman" w:hAnsi="Times New Roman" w:cs="Times New Roman"/>
          <w:noProof/>
          <w:sz w:val="24"/>
          <w:szCs w:val="24"/>
          <w:lang w:val="en-GB"/>
        </w:rPr>
        <w:t>TO</w:t>
      </w:r>
      <w:r w:rsidRPr="007C17A6">
        <w:rPr>
          <w:rFonts w:ascii="Times New Roman" w:hAnsi="Times New Roman" w:cs="Times New Roman"/>
          <w:sz w:val="24"/>
          <w:szCs w:val="24"/>
          <w:lang w:val="en-GB"/>
        </w:rPr>
        <w:t>) and less to the motor areas (PM</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M1</w:t>
      </w:r>
      <w:r w:rsidRPr="007C17A6">
        <w:rPr>
          <w:rFonts w:ascii="Times New Roman" w:hAnsi="Times New Roman" w:cs="Times New Roman"/>
          <w:sz w:val="24"/>
          <w:szCs w:val="24"/>
          <w:vertAlign w:val="subscript"/>
          <w:lang w:val="en-GB"/>
        </w:rPr>
        <w:t>L</w:t>
      </w:r>
      <w:r w:rsidRPr="007C17A6">
        <w:rPr>
          <w:rFonts w:ascii="Times New Roman" w:hAnsi="Times New Roman" w:cs="Times New Roman"/>
          <w:sz w:val="24"/>
          <w:szCs w:val="24"/>
          <w:lang w:val="en-GB"/>
        </w:rPr>
        <w:t>) and vice versa for action-related words.</w:t>
      </w:r>
    </w:p>
    <w:p w14:paraId="20F9F5C9" w14:textId="77777777" w:rsidR="00E740D6" w:rsidRPr="007C17A6" w:rsidRDefault="00E740D6" w:rsidP="00E740D6">
      <w:pPr>
        <w:spacing w:before="120" w:after="240" w:line="240" w:lineRule="auto"/>
        <w:contextualSpacing/>
        <w:jc w:val="both"/>
        <w:rPr>
          <w:rFonts w:ascii="Times New Roman" w:hAnsi="Times New Roman" w:cs="Times New Roman"/>
          <w:color w:val="000000" w:themeColor="text1"/>
          <w:lang w:val="en-GB"/>
        </w:rPr>
      </w:pPr>
    </w:p>
    <w:p w14:paraId="7E7D0964" w14:textId="482F65F1" w:rsidR="00852BF4" w:rsidRPr="007C17A6" w:rsidRDefault="00B31A86" w:rsidP="00B31A86">
      <w:pPr>
        <w:spacing w:before="120" w:after="240" w:line="240" w:lineRule="auto"/>
        <w:contextualSpacing/>
        <w:jc w:val="both"/>
        <w:rPr>
          <w:rFonts w:ascii="Times New Roman" w:hAnsi="Times New Roman" w:cs="Times New Roman"/>
          <w:sz w:val="24"/>
          <w:szCs w:val="24"/>
          <w:lang w:val="en-GB"/>
        </w:rPr>
      </w:pPr>
      <w:r w:rsidRPr="007C17A6">
        <w:rPr>
          <w:rFonts w:ascii="Times New Roman" w:hAnsi="Times New Roman" w:cs="Times New Roman"/>
          <w:color w:val="000000" w:themeColor="text1"/>
          <w:sz w:val="24"/>
          <w:szCs w:val="24"/>
          <w:lang w:val="en-GB"/>
        </w:rPr>
        <w:t>Figure 3</w:t>
      </w:r>
      <w:r w:rsidR="00E5421A" w:rsidRPr="007C17A6">
        <w:rPr>
          <w:rFonts w:ascii="Times New Roman" w:hAnsi="Times New Roman" w:cs="Times New Roman"/>
          <w:sz w:val="24"/>
          <w:szCs w:val="24"/>
          <w:lang w:val="en-GB"/>
        </w:rPr>
        <w:t xml:space="preserve"> illustrates examples of CA circuit activation (</w:t>
      </w:r>
      <w:r w:rsidR="00E5421A" w:rsidRPr="007C17A6">
        <w:rPr>
          <w:rFonts w:ascii="Times New Roman" w:hAnsi="Times New Roman" w:cs="Times New Roman"/>
          <w:noProof/>
          <w:sz w:val="24"/>
          <w:szCs w:val="24"/>
          <w:lang w:val="en-GB"/>
        </w:rPr>
        <w:t>i.e.</w:t>
      </w:r>
      <w:r w:rsidR="00E5421A" w:rsidRPr="007C17A6">
        <w:rPr>
          <w:rFonts w:ascii="Times New Roman" w:hAnsi="Times New Roman" w:cs="Times New Roman"/>
          <w:sz w:val="24"/>
          <w:szCs w:val="24"/>
          <w:lang w:val="en-GB"/>
        </w:rPr>
        <w:t xml:space="preserve"> each white pixel represents a spike) after the training has </w:t>
      </w:r>
      <w:r w:rsidR="00E5421A" w:rsidRPr="007C17A6">
        <w:rPr>
          <w:rFonts w:ascii="Times New Roman" w:hAnsi="Times New Roman" w:cs="Times New Roman"/>
          <w:noProof/>
          <w:sz w:val="24"/>
          <w:szCs w:val="24"/>
          <w:lang w:val="en-GB"/>
        </w:rPr>
        <w:t>been undertaken</w:t>
      </w:r>
      <w:r w:rsidR="00E5421A" w:rsidRPr="007C17A6">
        <w:rPr>
          <w:rFonts w:ascii="Times New Roman" w:hAnsi="Times New Roman" w:cs="Times New Roman"/>
          <w:sz w:val="24"/>
          <w:szCs w:val="24"/>
          <w:lang w:val="en-GB"/>
        </w:rPr>
        <w:t xml:space="preserve">. The network </w:t>
      </w:r>
      <w:r w:rsidR="00E5421A" w:rsidRPr="007C17A6">
        <w:rPr>
          <w:rFonts w:ascii="Times New Roman" w:hAnsi="Times New Roman" w:cs="Times New Roman"/>
          <w:noProof/>
          <w:sz w:val="24"/>
          <w:szCs w:val="24"/>
          <w:lang w:val="en-GB"/>
        </w:rPr>
        <w:t>was confronted</w:t>
      </w:r>
      <w:r w:rsidR="00E5421A" w:rsidRPr="007C17A6">
        <w:rPr>
          <w:rFonts w:ascii="Times New Roman" w:hAnsi="Times New Roman" w:cs="Times New Roman"/>
          <w:sz w:val="24"/>
          <w:szCs w:val="24"/>
          <w:lang w:val="en-GB"/>
        </w:rPr>
        <w:t xml:space="preserve"> with the acoustic component (input pattern in </w:t>
      </w:r>
      <w:r w:rsidR="00E5421A" w:rsidRPr="007C17A6">
        <w:rPr>
          <w:rFonts w:ascii="Times New Roman" w:hAnsi="Times New Roman" w:cs="Times New Roman"/>
          <w:noProof/>
          <w:sz w:val="24"/>
          <w:szCs w:val="24"/>
          <w:lang w:val="en-GB"/>
        </w:rPr>
        <w:t>primary</w:t>
      </w:r>
      <w:r w:rsidR="00E5421A" w:rsidRPr="007C17A6">
        <w:rPr>
          <w:rFonts w:ascii="Times New Roman" w:hAnsi="Times New Roman" w:cs="Times New Roman"/>
          <w:sz w:val="24"/>
          <w:szCs w:val="24"/>
          <w:lang w:val="en-GB"/>
        </w:rPr>
        <w:t xml:space="preserve"> auditory area) representing the auditory word-forms of the learned (A) object- and action-related (B) words, which in turn caused the “ignition” of the whole CA circuit for that specific word-pattern. The snapshot numbers indicate simulation time-steps of the network activity. Similarly, as in the distribution of the emerging CA circuits illustrated in Fig 2, action- and object-related word recognition exhibited a semantic category-specific spreading of activity in t</w:t>
      </w:r>
      <w:r w:rsidR="00852BF4" w:rsidRPr="007C17A6">
        <w:rPr>
          <w:rFonts w:ascii="Times New Roman" w:hAnsi="Times New Roman" w:cs="Times New Roman"/>
          <w:sz w:val="24"/>
          <w:szCs w:val="24"/>
          <w:lang w:val="en-GB"/>
        </w:rPr>
        <w:t>he modality-preferential areas</w:t>
      </w:r>
      <w:r w:rsidRPr="007C17A6">
        <w:rPr>
          <w:rFonts w:ascii="Times New Roman" w:hAnsi="Times New Roman" w:cs="Times New Roman"/>
          <w:sz w:val="24"/>
          <w:szCs w:val="24"/>
          <w:lang w:val="en-GB"/>
        </w:rPr>
        <w:t xml:space="preserve">, which is near </w:t>
      </w:r>
      <w:r w:rsidRPr="007C17A6">
        <w:rPr>
          <w:rFonts w:ascii="Times New Roman" w:hAnsi="Times New Roman" w:cs="Times New Roman"/>
          <w:sz w:val="24"/>
          <w:lang w:val="en-GB"/>
        </w:rPr>
        <w:t>simultaneous (</w:t>
      </w:r>
      <w:r w:rsidRPr="007C17A6">
        <w:rPr>
          <w:rFonts w:ascii="Times New Roman" w:hAnsi="Times New Roman" w:cs="Times New Roman"/>
          <w:noProof/>
          <w:sz w:val="24"/>
          <w:lang w:val="en-GB"/>
        </w:rPr>
        <w:t>i.e.</w:t>
      </w:r>
      <w:r w:rsidRPr="007C17A6">
        <w:rPr>
          <w:rFonts w:ascii="Times New Roman" w:hAnsi="Times New Roman" w:cs="Times New Roman"/>
          <w:sz w:val="24"/>
          <w:lang w:val="en-GB"/>
        </w:rPr>
        <w:t xml:space="preserve"> </w:t>
      </w:r>
      <w:r w:rsidRPr="007C17A6">
        <w:rPr>
          <w:rFonts w:ascii="Times New Roman" w:hAnsi="Times New Roman" w:cs="Times New Roman"/>
          <w:sz w:val="24"/>
          <w:szCs w:val="24"/>
          <w:lang w:val="en-GB" w:eastAsia="zh-CN"/>
        </w:rPr>
        <w:t xml:space="preserve">synchronous </w:t>
      </w:r>
      <w:r w:rsidRPr="007C17A6">
        <w:rPr>
          <w:rFonts w:ascii="Times New Roman" w:hAnsi="Times New Roman" w:cs="Times New Roman"/>
          <w:sz w:val="24"/>
          <w:lang w:val="en-GB"/>
        </w:rPr>
        <w:t>spikes</w:t>
      </w:r>
      <w:r w:rsidR="00812610" w:rsidRPr="007C17A6">
        <w:rPr>
          <w:rFonts w:ascii="Times New Roman" w:hAnsi="Times New Roman" w:cs="Times New Roman"/>
          <w:sz w:val="24"/>
          <w:lang w:val="en-GB"/>
        </w:rPr>
        <w:t>)</w:t>
      </w:r>
      <w:r w:rsidRPr="007C17A6">
        <w:rPr>
          <w:rFonts w:ascii="Times New Roman" w:hAnsi="Times New Roman" w:cs="Times New Roman"/>
          <w:sz w:val="24"/>
          <w:lang w:val="en-GB"/>
        </w:rPr>
        <w:t xml:space="preserve"> binding information from phonological (articulatory-acoustic) and semantic information. </w:t>
      </w:r>
      <w:r w:rsidRPr="007C17A6">
        <w:rPr>
          <w:rFonts w:ascii="Times New Roman" w:hAnsi="Times New Roman" w:cs="Times New Roman"/>
          <w:sz w:val="24"/>
          <w:szCs w:val="24"/>
          <w:lang w:val="en-GB"/>
        </w:rPr>
        <w:t>Interestingly</w:t>
      </w:r>
      <w:r w:rsidR="00852BF4" w:rsidRPr="007C17A6">
        <w:rPr>
          <w:rFonts w:ascii="Times New Roman" w:hAnsi="Times New Roman" w:cs="Times New Roman"/>
          <w:sz w:val="24"/>
          <w:szCs w:val="24"/>
          <w:lang w:val="en-GB"/>
        </w:rPr>
        <w:t>, the re-activation of the word-related cell assemblies across the cortical areas exhibit the distinct consecutive neuronal and cognitive processes; the stimulation phase</w:t>
      </w:r>
      <w:r w:rsidR="00696C5F" w:rsidRPr="007C17A6">
        <w:rPr>
          <w:rFonts w:ascii="Times New Roman" w:hAnsi="Times New Roman" w:cs="Times New Roman"/>
          <w:sz w:val="24"/>
          <w:szCs w:val="24"/>
          <w:lang w:val="en-GB"/>
        </w:rPr>
        <w:t xml:space="preserve"> (time steps 1-2)</w:t>
      </w:r>
      <w:r w:rsidR="00852BF4" w:rsidRPr="007C17A6">
        <w:rPr>
          <w:rFonts w:ascii="Times New Roman" w:hAnsi="Times New Roman" w:cs="Times New Roman"/>
          <w:sz w:val="24"/>
          <w:szCs w:val="24"/>
          <w:lang w:val="en-GB"/>
        </w:rPr>
        <w:t>, which corresponds to word perception (orange pixel), the full activation</w:t>
      </w:r>
      <w:r w:rsidR="00696C5F" w:rsidRPr="007C17A6">
        <w:rPr>
          <w:rFonts w:ascii="Times New Roman" w:hAnsi="Times New Roman" w:cs="Times New Roman"/>
          <w:sz w:val="24"/>
          <w:szCs w:val="24"/>
          <w:lang w:val="en-GB"/>
        </w:rPr>
        <w:t xml:space="preserve"> </w:t>
      </w:r>
      <w:r w:rsidR="00852BF4" w:rsidRPr="007C17A6">
        <w:rPr>
          <w:rFonts w:ascii="Times New Roman" w:hAnsi="Times New Roman" w:cs="Times New Roman"/>
          <w:sz w:val="24"/>
          <w:szCs w:val="24"/>
          <w:lang w:val="en-GB"/>
        </w:rPr>
        <w:t>or ‘ignition’ phase</w:t>
      </w:r>
      <w:r w:rsidR="00696C5F" w:rsidRPr="007C17A6">
        <w:rPr>
          <w:rFonts w:ascii="Times New Roman" w:hAnsi="Times New Roman" w:cs="Times New Roman"/>
          <w:sz w:val="24"/>
          <w:szCs w:val="24"/>
          <w:lang w:val="en-GB"/>
        </w:rPr>
        <w:t xml:space="preserve"> (time steps</w:t>
      </w:r>
      <w:r w:rsidR="00185FC3" w:rsidRPr="007C17A6">
        <w:rPr>
          <w:rFonts w:ascii="Times New Roman" w:hAnsi="Times New Roman" w:cs="Times New Roman"/>
          <w:sz w:val="24"/>
          <w:szCs w:val="24"/>
          <w:lang w:val="en-GB"/>
        </w:rPr>
        <w:t xml:space="preserve"> 5-8</w:t>
      </w:r>
      <w:r w:rsidR="00696C5F" w:rsidRPr="007C17A6">
        <w:rPr>
          <w:rFonts w:ascii="Times New Roman" w:hAnsi="Times New Roman" w:cs="Times New Roman"/>
          <w:sz w:val="24"/>
          <w:szCs w:val="24"/>
          <w:lang w:val="en-GB"/>
        </w:rPr>
        <w:t>)</w:t>
      </w:r>
      <w:r w:rsidR="00852BF4" w:rsidRPr="007C17A6">
        <w:rPr>
          <w:rFonts w:ascii="Times New Roman" w:hAnsi="Times New Roman" w:cs="Times New Roman"/>
          <w:sz w:val="24"/>
          <w:szCs w:val="24"/>
          <w:lang w:val="en-GB"/>
        </w:rPr>
        <w:t>, the correlate of word comprehension (magenta pixel), and the reverberant maintenance of activity</w:t>
      </w:r>
      <w:r w:rsidR="00696C5F" w:rsidRPr="007C17A6">
        <w:rPr>
          <w:rFonts w:ascii="Times New Roman" w:hAnsi="Times New Roman" w:cs="Times New Roman"/>
          <w:sz w:val="24"/>
          <w:szCs w:val="24"/>
          <w:lang w:val="en-GB"/>
        </w:rPr>
        <w:t xml:space="preserve"> (time steps 12-14)</w:t>
      </w:r>
      <w:r w:rsidR="00852BF4" w:rsidRPr="007C17A6">
        <w:rPr>
          <w:rFonts w:ascii="Times New Roman" w:hAnsi="Times New Roman" w:cs="Times New Roman"/>
          <w:sz w:val="24"/>
          <w:szCs w:val="24"/>
          <w:lang w:val="en-GB"/>
        </w:rPr>
        <w:t xml:space="preserve">, which underpins verbal working memory (blue pixels).  </w:t>
      </w:r>
    </w:p>
    <w:p w14:paraId="045770B7" w14:textId="77777777" w:rsidR="00B31A86" w:rsidRPr="007C17A6" w:rsidRDefault="00B31A86" w:rsidP="00B31A86">
      <w:pPr>
        <w:spacing w:before="120" w:after="240" w:line="240" w:lineRule="auto"/>
        <w:contextualSpacing/>
        <w:jc w:val="both"/>
        <w:rPr>
          <w:rFonts w:ascii="Times New Roman" w:hAnsi="Times New Roman" w:cs="Times New Roman"/>
          <w:sz w:val="24"/>
          <w:szCs w:val="24"/>
          <w:lang w:val="en-GB"/>
        </w:rPr>
      </w:pPr>
    </w:p>
    <w:p w14:paraId="7FFF72EF" w14:textId="2C463DFF" w:rsidR="00C56D26" w:rsidRPr="007C17A6" w:rsidRDefault="00E5421A" w:rsidP="0077421C">
      <w:pPr>
        <w:spacing w:after="240" w:line="240" w:lineRule="auto"/>
        <w:contextualSpacing/>
        <w:jc w:val="both"/>
        <w:rPr>
          <w:rFonts w:ascii="Times New Roman" w:hAnsi="Times New Roman" w:cs="Times New Roman"/>
          <w:sz w:val="24"/>
          <w:szCs w:val="24"/>
          <w:lang w:val="en-GB"/>
        </w:rPr>
      </w:pPr>
      <w:r w:rsidRPr="007C17A6">
        <w:rPr>
          <w:rFonts w:ascii="Times New Roman" w:hAnsi="Times New Roman" w:cs="Times New Roman"/>
          <w:sz w:val="24"/>
          <w:szCs w:val="24"/>
          <w:lang w:val="en-GB"/>
        </w:rPr>
        <w:t>The bar graph in Fig 4 reports the topographical distribution of the CA circuits across the network areas averaged over 12 networks. Different panels show results from the word production (A) and object and action recognition (B) ‘experiments</w:t>
      </w:r>
      <w:r w:rsidRPr="007C17A6">
        <w:rPr>
          <w:rFonts w:ascii="Times New Roman" w:hAnsi="Times New Roman" w:cs="Times New Roman"/>
          <w:noProof/>
          <w:sz w:val="24"/>
          <w:szCs w:val="24"/>
          <w:lang w:val="en-GB"/>
        </w:rPr>
        <w:t>’.</w:t>
      </w:r>
      <w:r w:rsidRPr="007C17A6">
        <w:rPr>
          <w:rFonts w:ascii="Times New Roman" w:hAnsi="Times New Roman" w:cs="Times New Roman"/>
          <w:sz w:val="24"/>
          <w:szCs w:val="24"/>
          <w:lang w:val="en-GB"/>
        </w:rPr>
        <w:t xml:space="preserve"> In each panel, average numbers of cell assembly neurons (plus standard errors) </w:t>
      </w:r>
      <w:r w:rsidRPr="007C17A6">
        <w:rPr>
          <w:rFonts w:ascii="Times New Roman" w:hAnsi="Times New Roman" w:cs="Times New Roman"/>
          <w:noProof/>
          <w:sz w:val="24"/>
          <w:szCs w:val="24"/>
          <w:lang w:val="en-GB"/>
        </w:rPr>
        <w:t>are shown</w:t>
      </w:r>
      <w:r w:rsidRPr="007C17A6">
        <w:rPr>
          <w:rFonts w:ascii="Times New Roman" w:hAnsi="Times New Roman" w:cs="Times New Roman"/>
          <w:sz w:val="24"/>
          <w:szCs w:val="24"/>
          <w:lang w:val="en-GB"/>
        </w:rPr>
        <w:t xml:space="preserve"> for each area, with extrasylvian areas displayed at the top and perisylvian ones at the bottom. Intriguingly, the extrasylvian areas show a different CA distribution between the two word-type circuits, while the perisylvian language areas seem not to show any word-category differences. </w:t>
      </w:r>
    </w:p>
    <w:p w14:paraId="320BD7C5" w14:textId="77777777" w:rsidR="00E740D6" w:rsidRPr="007C17A6" w:rsidRDefault="00E740D6" w:rsidP="00E740D6">
      <w:pPr>
        <w:spacing w:after="240" w:line="240" w:lineRule="auto"/>
        <w:ind w:firstLine="289"/>
        <w:contextualSpacing/>
        <w:jc w:val="both"/>
        <w:rPr>
          <w:rFonts w:ascii="Times New Roman" w:hAnsi="Times New Roman" w:cs="Times New Roman"/>
          <w:sz w:val="24"/>
          <w:szCs w:val="24"/>
          <w:lang w:val="en-GB"/>
        </w:rPr>
      </w:pPr>
    </w:p>
    <w:p w14:paraId="58B3058F" w14:textId="2636C9DC" w:rsidR="00C56D26" w:rsidRPr="007C17A6" w:rsidRDefault="00B30D84" w:rsidP="0077421C">
      <w:pPr>
        <w:spacing w:after="240" w:line="240" w:lineRule="auto"/>
        <w:contextualSpacing/>
        <w:jc w:val="both"/>
        <w:rPr>
          <w:rFonts w:ascii="Times New Roman" w:hAnsi="Times New Roman" w:cs="Times New Roman"/>
          <w:sz w:val="24"/>
          <w:szCs w:val="24"/>
          <w:lang w:val="en-GB"/>
        </w:rPr>
      </w:pPr>
      <w:r w:rsidRPr="007C17A6">
        <w:rPr>
          <w:rFonts w:ascii="Times New Roman" w:hAnsi="Times New Roman" w:cs="Times New Roman"/>
          <w:sz w:val="24"/>
          <w:szCs w:val="24"/>
          <w:lang w:val="en-GB"/>
        </w:rPr>
        <w:t>Furthermore, i</w:t>
      </w:r>
      <w:r w:rsidR="00E5421A" w:rsidRPr="007C17A6">
        <w:rPr>
          <w:rFonts w:ascii="Times New Roman" w:hAnsi="Times New Roman" w:cs="Times New Roman"/>
          <w:sz w:val="24"/>
          <w:szCs w:val="24"/>
          <w:lang w:val="en-GB"/>
        </w:rPr>
        <w:t xml:space="preserve">ndependently of whether an object or action-related word </w:t>
      </w:r>
      <w:r w:rsidR="00E5421A" w:rsidRPr="007C17A6">
        <w:rPr>
          <w:rFonts w:ascii="Times New Roman" w:hAnsi="Times New Roman" w:cs="Times New Roman"/>
          <w:noProof/>
          <w:sz w:val="24"/>
          <w:szCs w:val="24"/>
          <w:lang w:val="en-GB"/>
        </w:rPr>
        <w:t>is represented</w:t>
      </w:r>
      <w:r w:rsidR="00E5421A" w:rsidRPr="007C17A6">
        <w:rPr>
          <w:rFonts w:ascii="Times New Roman" w:hAnsi="Times New Roman" w:cs="Times New Roman"/>
          <w:sz w:val="24"/>
          <w:szCs w:val="24"/>
          <w:lang w:val="en-GB"/>
        </w:rPr>
        <w:t xml:space="preserve">, the word learning results showed higher density of CA cells in the connector hubs (PB, </w:t>
      </w:r>
      <w:proofErr w:type="spellStart"/>
      <w:r w:rsidR="00E5421A" w:rsidRPr="007C17A6">
        <w:rPr>
          <w:rFonts w:ascii="Times New Roman" w:hAnsi="Times New Roman" w:cs="Times New Roman"/>
          <w:sz w:val="24"/>
          <w:szCs w:val="24"/>
          <w:lang w:val="en-GB"/>
        </w:rPr>
        <w:t>PF</w:t>
      </w:r>
      <w:r w:rsidR="00E5421A" w:rsidRPr="007C17A6">
        <w:rPr>
          <w:rFonts w:ascii="Times New Roman" w:hAnsi="Times New Roman" w:cs="Times New Roman"/>
          <w:sz w:val="24"/>
          <w:szCs w:val="24"/>
          <w:vertAlign w:val="subscript"/>
          <w:lang w:val="en-GB"/>
        </w:rPr>
        <w:t>i</w:t>
      </w:r>
      <w:proofErr w:type="spellEnd"/>
      <w:r w:rsidR="00E5421A" w:rsidRPr="007C17A6">
        <w:rPr>
          <w:rFonts w:ascii="Times New Roman" w:hAnsi="Times New Roman" w:cs="Times New Roman"/>
          <w:sz w:val="24"/>
          <w:szCs w:val="24"/>
          <w:lang w:val="en-GB"/>
        </w:rPr>
        <w:t>, AT and PF</w:t>
      </w:r>
      <w:r w:rsidR="00E5421A" w:rsidRPr="007C17A6">
        <w:rPr>
          <w:rFonts w:ascii="Times New Roman" w:hAnsi="Times New Roman" w:cs="Times New Roman"/>
          <w:sz w:val="24"/>
          <w:szCs w:val="24"/>
          <w:vertAlign w:val="subscript"/>
          <w:lang w:val="en-GB"/>
        </w:rPr>
        <w:t>L</w:t>
      </w:r>
      <w:r w:rsidR="00E5421A" w:rsidRPr="007C17A6">
        <w:rPr>
          <w:rFonts w:ascii="Times New Roman" w:hAnsi="Times New Roman" w:cs="Times New Roman"/>
          <w:sz w:val="24"/>
          <w:szCs w:val="24"/>
          <w:lang w:val="en-GB"/>
        </w:rPr>
        <w:t xml:space="preserve">) than in the secondary (AB, </w:t>
      </w:r>
      <w:r w:rsidR="00E5421A" w:rsidRPr="007C17A6">
        <w:rPr>
          <w:rFonts w:ascii="Times New Roman" w:hAnsi="Times New Roman" w:cs="Times New Roman"/>
          <w:noProof/>
          <w:sz w:val="24"/>
          <w:szCs w:val="24"/>
          <w:lang w:val="en-GB"/>
        </w:rPr>
        <w:t>PM</w:t>
      </w:r>
      <w:r w:rsidR="00E5421A" w:rsidRPr="007C17A6">
        <w:rPr>
          <w:rFonts w:ascii="Times New Roman" w:hAnsi="Times New Roman" w:cs="Times New Roman"/>
          <w:noProof/>
          <w:sz w:val="24"/>
          <w:szCs w:val="24"/>
          <w:vertAlign w:val="subscript"/>
          <w:lang w:val="en-GB"/>
        </w:rPr>
        <w:t>i</w:t>
      </w:r>
      <w:r w:rsidR="00E5421A" w:rsidRPr="007C17A6">
        <w:rPr>
          <w:rFonts w:ascii="Times New Roman" w:hAnsi="Times New Roman" w:cs="Times New Roman"/>
          <w:sz w:val="24"/>
          <w:szCs w:val="24"/>
          <w:lang w:val="en-GB"/>
        </w:rPr>
        <w:t>, TO, PM</w:t>
      </w:r>
      <w:r w:rsidR="00E5421A" w:rsidRPr="007C17A6">
        <w:rPr>
          <w:rFonts w:ascii="Times New Roman" w:hAnsi="Times New Roman" w:cs="Times New Roman"/>
          <w:sz w:val="24"/>
          <w:szCs w:val="24"/>
          <w:vertAlign w:val="subscript"/>
          <w:lang w:val="en-GB"/>
        </w:rPr>
        <w:t>L</w:t>
      </w:r>
      <w:r w:rsidR="00E5421A" w:rsidRPr="007C17A6">
        <w:rPr>
          <w:rFonts w:ascii="Times New Roman" w:hAnsi="Times New Roman" w:cs="Times New Roman"/>
          <w:sz w:val="24"/>
          <w:szCs w:val="24"/>
          <w:lang w:val="en-GB"/>
        </w:rPr>
        <w:t>) and primary areas (A1, M1</w:t>
      </w:r>
      <w:r w:rsidR="00E5421A" w:rsidRPr="007C17A6">
        <w:rPr>
          <w:rFonts w:ascii="Times New Roman" w:hAnsi="Times New Roman" w:cs="Times New Roman"/>
          <w:sz w:val="24"/>
          <w:szCs w:val="24"/>
          <w:vertAlign w:val="subscript"/>
          <w:lang w:val="en-GB"/>
        </w:rPr>
        <w:t>i</w:t>
      </w:r>
      <w:r w:rsidR="00E5421A" w:rsidRPr="007C17A6">
        <w:rPr>
          <w:rFonts w:ascii="Times New Roman" w:hAnsi="Times New Roman" w:cs="Times New Roman"/>
          <w:sz w:val="24"/>
          <w:szCs w:val="24"/>
          <w:lang w:val="en-GB"/>
        </w:rPr>
        <w:t>, V1, M1</w:t>
      </w:r>
      <w:r w:rsidR="00E5421A" w:rsidRPr="007C17A6">
        <w:rPr>
          <w:rFonts w:ascii="Times New Roman" w:hAnsi="Times New Roman" w:cs="Times New Roman"/>
          <w:sz w:val="24"/>
          <w:szCs w:val="24"/>
          <w:vertAlign w:val="subscript"/>
          <w:lang w:val="en-GB"/>
        </w:rPr>
        <w:t>L</w:t>
      </w:r>
      <w:r w:rsidR="00E5421A" w:rsidRPr="007C17A6">
        <w:rPr>
          <w:rFonts w:ascii="Times New Roman" w:hAnsi="Times New Roman" w:cs="Times New Roman"/>
          <w:sz w:val="24"/>
          <w:szCs w:val="24"/>
          <w:lang w:val="en-GB"/>
        </w:rPr>
        <w:t xml:space="preserve">). Similar results were revealed for </w:t>
      </w:r>
      <w:r w:rsidR="00D54BE4" w:rsidRPr="007C17A6">
        <w:rPr>
          <w:rFonts w:ascii="Times New Roman" w:hAnsi="Times New Roman" w:cs="Times New Roman"/>
          <w:sz w:val="24"/>
          <w:szCs w:val="24"/>
          <w:lang w:val="en-GB"/>
        </w:rPr>
        <w:t xml:space="preserve">both </w:t>
      </w:r>
      <w:r w:rsidR="00D54BE4" w:rsidRPr="007C17A6">
        <w:rPr>
          <w:rFonts w:ascii="Times New Roman" w:hAnsi="Times New Roman" w:cs="Times New Roman"/>
          <w:noProof/>
          <w:sz w:val="24"/>
          <w:szCs w:val="24"/>
          <w:lang w:val="en-GB"/>
        </w:rPr>
        <w:t>word</w:t>
      </w:r>
      <w:r w:rsidR="00D54BE4" w:rsidRPr="007C17A6">
        <w:rPr>
          <w:rFonts w:ascii="Times New Roman" w:hAnsi="Times New Roman" w:cs="Times New Roman"/>
          <w:sz w:val="24"/>
          <w:szCs w:val="24"/>
          <w:lang w:val="en-GB"/>
        </w:rPr>
        <w:t xml:space="preserve"> production and action and </w:t>
      </w:r>
      <w:r w:rsidR="00E5421A" w:rsidRPr="007C17A6">
        <w:rPr>
          <w:rFonts w:ascii="Times New Roman" w:hAnsi="Times New Roman" w:cs="Times New Roman"/>
          <w:sz w:val="24"/>
          <w:szCs w:val="24"/>
          <w:lang w:val="en-GB"/>
        </w:rPr>
        <w:t>object recognition, which is in line with the differential CA topographies already noted above and in Fig 2. However, there were minor differences in the estimated cell assembly topographies, as</w:t>
      </w:r>
      <w:r w:rsidR="00136E73" w:rsidRPr="007C17A6">
        <w:rPr>
          <w:rFonts w:ascii="Times New Roman" w:hAnsi="Times New Roman" w:cs="Times New Roman"/>
          <w:sz w:val="24"/>
          <w:szCs w:val="24"/>
          <w:lang w:val="en-GB"/>
        </w:rPr>
        <w:t xml:space="preserve"> the</w:t>
      </w:r>
      <w:r w:rsidR="00E5421A" w:rsidRPr="007C17A6">
        <w:rPr>
          <w:rFonts w:ascii="Times New Roman" w:hAnsi="Times New Roman" w:cs="Times New Roman"/>
          <w:sz w:val="24"/>
          <w:szCs w:val="24"/>
          <w:lang w:val="en-GB"/>
        </w:rPr>
        <w:t xml:space="preserve"> </w:t>
      </w:r>
      <w:r w:rsidR="00E5421A" w:rsidRPr="007C17A6">
        <w:rPr>
          <w:rFonts w:ascii="Times New Roman" w:hAnsi="Times New Roman" w:cs="Times New Roman"/>
          <w:noProof/>
          <w:sz w:val="24"/>
          <w:szCs w:val="24"/>
          <w:lang w:val="en-GB"/>
        </w:rPr>
        <w:t>relatively</w:t>
      </w:r>
      <w:r w:rsidR="00E5421A" w:rsidRPr="007C17A6">
        <w:rPr>
          <w:rFonts w:ascii="Times New Roman" w:hAnsi="Times New Roman" w:cs="Times New Roman"/>
          <w:sz w:val="24"/>
          <w:szCs w:val="24"/>
          <w:lang w:val="en-GB"/>
        </w:rPr>
        <w:t xml:space="preserve"> </w:t>
      </w:r>
      <w:r w:rsidR="00E5421A" w:rsidRPr="007C17A6">
        <w:rPr>
          <w:rFonts w:ascii="Times New Roman" w:hAnsi="Times New Roman" w:cs="Times New Roman"/>
          <w:noProof/>
          <w:sz w:val="24"/>
          <w:szCs w:val="24"/>
          <w:lang w:val="en-GB"/>
        </w:rPr>
        <w:t>larger</w:t>
      </w:r>
      <w:r w:rsidR="00E5421A" w:rsidRPr="007C17A6">
        <w:rPr>
          <w:rFonts w:ascii="Times New Roman" w:hAnsi="Times New Roman" w:cs="Times New Roman"/>
          <w:sz w:val="24"/>
          <w:szCs w:val="24"/>
          <w:lang w:val="en-GB"/>
        </w:rPr>
        <w:t xml:space="preserve"> number of </w:t>
      </w:r>
      <w:r w:rsidR="00E5421A" w:rsidRPr="007C17A6">
        <w:rPr>
          <w:rFonts w:ascii="Times New Roman" w:hAnsi="Times New Roman" w:cs="Times New Roman"/>
          <w:noProof/>
          <w:sz w:val="24"/>
          <w:szCs w:val="24"/>
          <w:lang w:val="en-GB"/>
        </w:rPr>
        <w:t>CA</w:t>
      </w:r>
      <w:r w:rsidR="00E5421A" w:rsidRPr="007C17A6">
        <w:rPr>
          <w:rFonts w:ascii="Times New Roman" w:hAnsi="Times New Roman" w:cs="Times New Roman"/>
          <w:sz w:val="24"/>
          <w:szCs w:val="24"/>
          <w:lang w:val="en-GB"/>
        </w:rPr>
        <w:t xml:space="preserve"> cells in the primary areas of the extrasylvian system were obtained for object and action recognition compared to word production, which was (trivially) due to the stimulus presentation there. </w:t>
      </w:r>
    </w:p>
    <w:p w14:paraId="33AD8676" w14:textId="77777777" w:rsidR="00E740D6" w:rsidRPr="007C17A6" w:rsidRDefault="00E740D6" w:rsidP="00E740D6">
      <w:pPr>
        <w:spacing w:after="240" w:line="240" w:lineRule="auto"/>
        <w:ind w:firstLine="289"/>
        <w:contextualSpacing/>
        <w:jc w:val="both"/>
        <w:rPr>
          <w:rFonts w:ascii="Times New Roman" w:hAnsi="Times New Roman" w:cs="Times New Roman"/>
          <w:sz w:val="24"/>
          <w:szCs w:val="24"/>
          <w:lang w:val="en-GB"/>
        </w:rPr>
      </w:pPr>
    </w:p>
    <w:p w14:paraId="2BD17390" w14:textId="7A4360A9" w:rsidR="003F6324" w:rsidRPr="007C17A6" w:rsidRDefault="00E5421A" w:rsidP="000C68B1">
      <w:pPr>
        <w:spacing w:line="240" w:lineRule="auto"/>
        <w:contextualSpacing/>
        <w:jc w:val="both"/>
        <w:rPr>
          <w:rFonts w:ascii="Times New Roman" w:hAnsi="Times New Roman" w:cs="Times New Roman"/>
          <w:sz w:val="24"/>
          <w:szCs w:val="24"/>
          <w:lang w:val="en-GB"/>
        </w:rPr>
      </w:pPr>
      <w:r w:rsidRPr="007C17A6">
        <w:rPr>
          <w:rFonts w:ascii="Times New Roman" w:hAnsi="Times New Roman" w:cs="Times New Roman"/>
          <w:noProof/>
          <w:sz w:val="24"/>
          <w:szCs w:val="24"/>
          <w:lang w:val="en-GB"/>
        </w:rPr>
        <w:t>Th</w:t>
      </w:r>
      <w:r w:rsidR="00D905DF" w:rsidRPr="007C17A6">
        <w:rPr>
          <w:rFonts w:ascii="Times New Roman" w:hAnsi="Times New Roman" w:cs="Times New Roman"/>
          <w:noProof/>
          <w:sz w:val="24"/>
          <w:szCs w:val="24"/>
          <w:lang w:val="en-GB"/>
        </w:rPr>
        <w:t xml:space="preserve">e 4-way repeated measurement ANOVA </w:t>
      </w:r>
      <w:r w:rsidR="00D905DF" w:rsidRPr="007C17A6">
        <w:rPr>
          <w:rFonts w:ascii="Times New Roman" w:hAnsi="Times New Roman" w:cs="Times New Roman"/>
          <w:sz w:val="24"/>
          <w:szCs w:val="24"/>
          <w:lang w:val="en-GB"/>
        </w:rPr>
        <w:t xml:space="preserve">(with factors </w:t>
      </w:r>
      <w:proofErr w:type="spellStart"/>
      <w:r w:rsidR="00D905DF" w:rsidRPr="007C17A6">
        <w:rPr>
          <w:rFonts w:ascii="Times New Roman" w:hAnsi="Times New Roman" w:cs="Times New Roman"/>
          <w:sz w:val="24"/>
          <w:szCs w:val="24"/>
          <w:lang w:val="en-GB"/>
        </w:rPr>
        <w:t>WordType</w:t>
      </w:r>
      <w:proofErr w:type="spellEnd"/>
      <w:r w:rsidR="00D905DF" w:rsidRPr="007C17A6">
        <w:rPr>
          <w:rFonts w:ascii="Times New Roman" w:hAnsi="Times New Roman" w:cs="Times New Roman"/>
          <w:sz w:val="24"/>
          <w:szCs w:val="24"/>
          <w:lang w:val="en-GB"/>
        </w:rPr>
        <w:t xml:space="preserve">, </w:t>
      </w:r>
      <w:r w:rsidR="00D905DF" w:rsidRPr="007C17A6">
        <w:rPr>
          <w:rFonts w:ascii="Times New Roman" w:hAnsi="Times New Roman" w:cs="Times New Roman"/>
          <w:noProof/>
          <w:sz w:val="24"/>
          <w:szCs w:val="24"/>
          <w:lang w:val="en-GB"/>
        </w:rPr>
        <w:t>PeriExtra</w:t>
      </w:r>
      <w:r w:rsidR="00D905DF" w:rsidRPr="007C17A6">
        <w:rPr>
          <w:rFonts w:ascii="Times New Roman" w:hAnsi="Times New Roman" w:cs="Times New Roman"/>
          <w:sz w:val="24"/>
          <w:szCs w:val="24"/>
          <w:lang w:val="en-GB"/>
        </w:rPr>
        <w:t xml:space="preserve">, </w:t>
      </w:r>
      <w:proofErr w:type="spellStart"/>
      <w:r w:rsidR="00D905DF" w:rsidRPr="007C17A6">
        <w:rPr>
          <w:rFonts w:ascii="Times New Roman" w:hAnsi="Times New Roman" w:cs="Times New Roman"/>
          <w:sz w:val="24"/>
          <w:szCs w:val="24"/>
          <w:lang w:val="en-GB"/>
        </w:rPr>
        <w:t>TemporalFrontal</w:t>
      </w:r>
      <w:proofErr w:type="spellEnd"/>
      <w:r w:rsidR="00D905DF" w:rsidRPr="007C17A6">
        <w:rPr>
          <w:rFonts w:ascii="Times New Roman" w:hAnsi="Times New Roman" w:cs="Times New Roman"/>
          <w:sz w:val="24"/>
          <w:szCs w:val="24"/>
          <w:lang w:val="en-GB"/>
        </w:rPr>
        <w:t xml:space="preserve"> and Areas) performed on the word production data from all of the 12 network areas</w:t>
      </w:r>
      <w:r w:rsidR="00D905DF" w:rsidRPr="007C17A6">
        <w:rPr>
          <w:rFonts w:ascii="Times New Roman" w:hAnsi="Times New Roman" w:cs="Times New Roman"/>
          <w:noProof/>
          <w:sz w:val="24"/>
          <w:szCs w:val="24"/>
          <w:lang w:val="en-GB"/>
        </w:rPr>
        <w:t xml:space="preserve"> fully confirmed the empirical and visual observation described above</w:t>
      </w:r>
      <w:r w:rsidRPr="007C17A6">
        <w:rPr>
          <w:rFonts w:ascii="Times New Roman" w:hAnsi="Times New Roman" w:cs="Times New Roman"/>
          <w:sz w:val="24"/>
          <w:szCs w:val="24"/>
          <w:lang w:val="en-GB"/>
        </w:rPr>
        <w:t xml:space="preserve">. A highly significant interaction emerged with factors </w:t>
      </w:r>
      <w:proofErr w:type="spellStart"/>
      <w:r w:rsidRPr="007C17A6">
        <w:rPr>
          <w:rFonts w:ascii="Times New Roman" w:hAnsi="Times New Roman" w:cs="Times New Roman"/>
          <w:sz w:val="24"/>
          <w:szCs w:val="24"/>
          <w:lang w:val="en-GB"/>
        </w:rPr>
        <w:t>WordType</w:t>
      </w:r>
      <w:proofErr w:type="spellEnd"/>
      <w:r w:rsidRPr="007C17A6">
        <w:rPr>
          <w:rFonts w:ascii="Times New Roman" w:hAnsi="Times New Roman" w:cs="Times New Roman"/>
          <w:sz w:val="24"/>
          <w:szCs w:val="24"/>
          <w:lang w:val="en-GB"/>
        </w:rPr>
        <w:t xml:space="preserve">, </w:t>
      </w:r>
      <w:r w:rsidRPr="007C17A6">
        <w:rPr>
          <w:rFonts w:ascii="Times New Roman" w:hAnsi="Times New Roman" w:cs="Times New Roman"/>
          <w:noProof/>
          <w:sz w:val="24"/>
          <w:szCs w:val="24"/>
          <w:lang w:val="en-GB"/>
        </w:rPr>
        <w:t>PeriExtra</w:t>
      </w:r>
      <w:r w:rsidRPr="007C17A6">
        <w:rPr>
          <w:rFonts w:ascii="Times New Roman" w:hAnsi="Times New Roman" w:cs="Times New Roman"/>
          <w:sz w:val="24"/>
          <w:szCs w:val="24"/>
          <w:lang w:val="en-GB"/>
        </w:rPr>
        <w:t xml:space="preserve">, </w:t>
      </w:r>
      <w:proofErr w:type="spellStart"/>
      <w:r w:rsidRPr="007C17A6">
        <w:rPr>
          <w:rFonts w:ascii="Times New Roman" w:hAnsi="Times New Roman" w:cs="Times New Roman"/>
          <w:sz w:val="24"/>
          <w:szCs w:val="24"/>
          <w:lang w:val="en-GB"/>
        </w:rPr>
        <w:t>TempFront</w:t>
      </w:r>
      <w:proofErr w:type="spellEnd"/>
      <w:r w:rsidRPr="007C17A6">
        <w:rPr>
          <w:rFonts w:ascii="Times New Roman" w:hAnsi="Times New Roman" w:cs="Times New Roman"/>
          <w:sz w:val="24"/>
          <w:szCs w:val="24"/>
          <w:lang w:val="en-GB"/>
        </w:rPr>
        <w:t xml:space="preserve"> </w:t>
      </w:r>
      <w:r w:rsidRPr="007C17A6">
        <w:rPr>
          <w:rFonts w:ascii="Times New Roman" w:hAnsi="Times New Roman" w:cs="Times New Roman"/>
          <w:noProof/>
          <w:sz w:val="24"/>
          <w:szCs w:val="24"/>
          <w:lang w:val="en-GB"/>
        </w:rPr>
        <w:t>and</w:t>
      </w:r>
      <w:r w:rsidRPr="007C17A6">
        <w:rPr>
          <w:rFonts w:ascii="Times New Roman" w:hAnsi="Times New Roman" w:cs="Times New Roman"/>
          <w:sz w:val="24"/>
          <w:szCs w:val="24"/>
          <w:lang w:val="en-GB"/>
        </w:rPr>
        <w:t xml:space="preserve"> Areas (F</w:t>
      </w:r>
      <w:r w:rsidRPr="007C17A6">
        <w:rPr>
          <w:rFonts w:ascii="Times New Roman" w:hAnsi="Times New Roman" w:cs="Times New Roman"/>
          <w:sz w:val="24"/>
          <w:szCs w:val="24"/>
          <w:vertAlign w:val="subscript"/>
          <w:lang w:val="en-GB"/>
        </w:rPr>
        <w:t xml:space="preserve">2,22 </w:t>
      </w:r>
      <w:r w:rsidRPr="007C17A6">
        <w:rPr>
          <w:rFonts w:ascii="Times New Roman" w:hAnsi="Times New Roman" w:cs="Times New Roman"/>
          <w:sz w:val="24"/>
          <w:szCs w:val="24"/>
          <w:lang w:val="en-GB"/>
        </w:rPr>
        <w:t xml:space="preserve">= 14.012, </w:t>
      </w:r>
      <w:r w:rsidRPr="007C17A6">
        <w:rPr>
          <w:rFonts w:ascii="Times New Roman" w:hAnsi="Times New Roman" w:cs="Times New Roman"/>
          <w:i/>
          <w:sz w:val="24"/>
          <w:szCs w:val="24"/>
          <w:lang w:val="en-GB"/>
        </w:rPr>
        <w:t xml:space="preserve">p </w:t>
      </w:r>
      <w:r w:rsidRPr="007C17A6">
        <w:rPr>
          <w:rFonts w:ascii="Times New Roman" w:hAnsi="Times New Roman" w:cs="Times New Roman"/>
          <w:sz w:val="24"/>
          <w:szCs w:val="24"/>
          <w:lang w:val="en-GB"/>
        </w:rPr>
        <w:t>&lt; .0002), revealing different CA circuits across the 12 area network between object- and action-related words. A main effect of Areas (F</w:t>
      </w:r>
      <w:r w:rsidRPr="007C17A6">
        <w:rPr>
          <w:rFonts w:ascii="Times New Roman" w:hAnsi="Times New Roman" w:cs="Times New Roman"/>
          <w:sz w:val="24"/>
          <w:szCs w:val="24"/>
          <w:vertAlign w:val="subscript"/>
          <w:lang w:val="en-GB"/>
        </w:rPr>
        <w:t>2,22</w:t>
      </w:r>
      <w:r w:rsidRPr="007C17A6">
        <w:rPr>
          <w:rFonts w:ascii="Times New Roman" w:hAnsi="Times New Roman" w:cs="Times New Roman"/>
          <w:sz w:val="24"/>
          <w:szCs w:val="24"/>
          <w:lang w:val="en-GB"/>
        </w:rPr>
        <w:t xml:space="preserve"> = 265.721, </w:t>
      </w:r>
      <w:r w:rsidRPr="007C17A6">
        <w:rPr>
          <w:rFonts w:ascii="Times New Roman" w:hAnsi="Times New Roman" w:cs="Times New Roman"/>
          <w:i/>
          <w:sz w:val="24"/>
          <w:szCs w:val="24"/>
          <w:lang w:val="en-GB"/>
        </w:rPr>
        <w:t xml:space="preserve">p </w:t>
      </w:r>
      <w:r w:rsidRPr="007C17A6">
        <w:rPr>
          <w:rFonts w:ascii="Times New Roman" w:hAnsi="Times New Roman" w:cs="Times New Roman"/>
          <w:sz w:val="24"/>
          <w:szCs w:val="24"/>
          <w:lang w:val="en-GB"/>
        </w:rPr>
        <w:t xml:space="preserve">&lt; .0001), indicating the different CA cell densities distributed across the network as noted above, namely higher CA cells in hubs than in </w:t>
      </w:r>
      <w:r w:rsidRPr="007C17A6">
        <w:rPr>
          <w:rFonts w:ascii="Times New Roman" w:hAnsi="Times New Roman" w:cs="Times New Roman"/>
          <w:noProof/>
          <w:sz w:val="24"/>
          <w:szCs w:val="24"/>
          <w:lang w:val="en-GB"/>
        </w:rPr>
        <w:t>secondary</w:t>
      </w:r>
      <w:r w:rsidRPr="007C17A6">
        <w:rPr>
          <w:rFonts w:ascii="Times New Roman" w:hAnsi="Times New Roman" w:cs="Times New Roman"/>
          <w:sz w:val="24"/>
          <w:szCs w:val="24"/>
          <w:lang w:val="en-GB"/>
        </w:rPr>
        <w:t xml:space="preserve"> </w:t>
      </w:r>
      <w:r w:rsidR="00A84992" w:rsidRPr="007C17A6">
        <w:rPr>
          <w:rFonts w:ascii="Times New Roman" w:hAnsi="Times New Roman" w:cs="Times New Roman"/>
          <w:sz w:val="24"/>
          <w:szCs w:val="24"/>
          <w:lang w:val="en-GB"/>
        </w:rPr>
        <w:t>regions</w:t>
      </w:r>
      <w:r w:rsidRPr="007C17A6">
        <w:rPr>
          <w:rFonts w:ascii="Times New Roman" w:hAnsi="Times New Roman" w:cs="Times New Roman"/>
          <w:sz w:val="24"/>
          <w:szCs w:val="24"/>
          <w:lang w:val="en-GB"/>
        </w:rPr>
        <w:t xml:space="preserve"> (</w:t>
      </w:r>
      <w:r w:rsidRPr="007C17A6">
        <w:rPr>
          <w:rFonts w:ascii="Times New Roman" w:hAnsi="Times New Roman" w:cs="Times New Roman"/>
          <w:i/>
          <w:sz w:val="24"/>
          <w:szCs w:val="24"/>
          <w:lang w:val="en-GB"/>
        </w:rPr>
        <w:t>p</w:t>
      </w:r>
      <w:r w:rsidRPr="007C17A6">
        <w:rPr>
          <w:rFonts w:ascii="Times New Roman" w:hAnsi="Times New Roman" w:cs="Times New Roman"/>
          <w:sz w:val="24"/>
          <w:szCs w:val="24"/>
          <w:lang w:val="en-GB"/>
        </w:rPr>
        <w:t xml:space="preserve"> &lt; </w:t>
      </w:r>
      <w:r w:rsidRPr="007C17A6">
        <w:rPr>
          <w:rFonts w:ascii="Times New Roman" w:hAnsi="Times New Roman" w:cs="Times New Roman"/>
          <w:sz w:val="24"/>
          <w:szCs w:val="24"/>
          <w:lang w:val="en-GB"/>
        </w:rPr>
        <w:lastRenderedPageBreak/>
        <w:t xml:space="preserve">.0001), and higher in secondary than in primary </w:t>
      </w:r>
      <w:r w:rsidR="00A84992" w:rsidRPr="007C17A6">
        <w:rPr>
          <w:rFonts w:ascii="Times New Roman" w:hAnsi="Times New Roman" w:cs="Times New Roman"/>
          <w:sz w:val="24"/>
          <w:szCs w:val="24"/>
          <w:lang w:val="en-GB"/>
        </w:rPr>
        <w:t>cortices</w:t>
      </w:r>
      <w:r w:rsidRPr="007C17A6">
        <w:rPr>
          <w:rFonts w:ascii="Times New Roman" w:hAnsi="Times New Roman" w:cs="Times New Roman"/>
          <w:sz w:val="24"/>
          <w:szCs w:val="24"/>
          <w:lang w:val="en-GB"/>
        </w:rPr>
        <w:t xml:space="preserve"> (</w:t>
      </w:r>
      <w:r w:rsidRPr="007C17A6">
        <w:rPr>
          <w:rFonts w:ascii="Times New Roman" w:hAnsi="Times New Roman" w:cs="Times New Roman"/>
          <w:i/>
          <w:sz w:val="24"/>
          <w:szCs w:val="24"/>
          <w:lang w:val="en-GB"/>
        </w:rPr>
        <w:t>p</w:t>
      </w:r>
      <w:r w:rsidRPr="007C17A6">
        <w:rPr>
          <w:rFonts w:ascii="Times New Roman" w:hAnsi="Times New Roman" w:cs="Times New Roman"/>
          <w:sz w:val="24"/>
          <w:szCs w:val="24"/>
          <w:lang w:val="en-GB"/>
        </w:rPr>
        <w:t xml:space="preserve"> &lt; .0001). We separately ran a 3-way ANOVA on the data from the two systems, because of the significant interaction between peri- and extrasylvian areas. As expected, the extrasylvian system revealed a highly significant interaction of all </w:t>
      </w:r>
      <w:r w:rsidRPr="007C17A6">
        <w:rPr>
          <w:rFonts w:ascii="Times New Roman" w:hAnsi="Times New Roman" w:cs="Times New Roman"/>
          <w:noProof/>
          <w:sz w:val="24"/>
          <w:szCs w:val="24"/>
          <w:lang w:val="en-GB"/>
        </w:rPr>
        <w:t>3</w:t>
      </w:r>
      <w:r w:rsidRPr="007C17A6">
        <w:rPr>
          <w:rFonts w:ascii="Times New Roman" w:hAnsi="Times New Roman" w:cs="Times New Roman"/>
          <w:sz w:val="24"/>
          <w:szCs w:val="24"/>
          <w:lang w:val="en-GB"/>
        </w:rPr>
        <w:t xml:space="preserve"> factors </w:t>
      </w:r>
      <w:proofErr w:type="spellStart"/>
      <w:r w:rsidRPr="007C17A6">
        <w:rPr>
          <w:rFonts w:ascii="Times New Roman" w:hAnsi="Times New Roman" w:cs="Times New Roman"/>
          <w:sz w:val="24"/>
          <w:szCs w:val="24"/>
          <w:lang w:val="en-GB"/>
        </w:rPr>
        <w:t>WordType</w:t>
      </w:r>
      <w:proofErr w:type="spellEnd"/>
      <w:r w:rsidRPr="007C17A6">
        <w:rPr>
          <w:rFonts w:ascii="Times New Roman" w:hAnsi="Times New Roman" w:cs="Times New Roman"/>
          <w:sz w:val="24"/>
          <w:szCs w:val="24"/>
          <w:lang w:val="en-GB"/>
        </w:rPr>
        <w:t xml:space="preserve">, </w:t>
      </w:r>
      <w:proofErr w:type="spellStart"/>
      <w:r w:rsidRPr="007C17A6">
        <w:rPr>
          <w:rFonts w:ascii="Times New Roman" w:hAnsi="Times New Roman" w:cs="Times New Roman"/>
          <w:sz w:val="24"/>
          <w:szCs w:val="24"/>
          <w:lang w:val="en-GB"/>
        </w:rPr>
        <w:t>TempFront</w:t>
      </w:r>
      <w:proofErr w:type="spellEnd"/>
      <w:r w:rsidRPr="007C17A6">
        <w:rPr>
          <w:rFonts w:ascii="Times New Roman" w:hAnsi="Times New Roman" w:cs="Times New Roman"/>
          <w:sz w:val="24"/>
          <w:szCs w:val="24"/>
          <w:lang w:val="en-GB"/>
        </w:rPr>
        <w:t xml:space="preserve"> and Areas (F</w:t>
      </w:r>
      <w:r w:rsidRPr="007C17A6">
        <w:rPr>
          <w:rFonts w:ascii="Times New Roman" w:hAnsi="Times New Roman" w:cs="Times New Roman"/>
          <w:sz w:val="24"/>
          <w:szCs w:val="24"/>
          <w:vertAlign w:val="subscript"/>
          <w:lang w:val="en-GB"/>
        </w:rPr>
        <w:t>2,22</w:t>
      </w:r>
      <w:r w:rsidRPr="007C17A6">
        <w:rPr>
          <w:rFonts w:ascii="Times New Roman" w:hAnsi="Times New Roman" w:cs="Times New Roman"/>
          <w:sz w:val="24"/>
          <w:szCs w:val="24"/>
          <w:lang w:val="en-GB"/>
        </w:rPr>
        <w:t xml:space="preserve"> = 53.11, </w:t>
      </w:r>
      <w:r w:rsidRPr="007C17A6">
        <w:rPr>
          <w:rFonts w:ascii="Times New Roman" w:hAnsi="Times New Roman" w:cs="Times New Roman"/>
          <w:i/>
          <w:sz w:val="24"/>
          <w:szCs w:val="24"/>
          <w:lang w:val="en-GB"/>
        </w:rPr>
        <w:t xml:space="preserve">p </w:t>
      </w:r>
      <w:r w:rsidRPr="007C17A6">
        <w:rPr>
          <w:rFonts w:ascii="Times New Roman" w:hAnsi="Times New Roman" w:cs="Times New Roman"/>
          <w:sz w:val="24"/>
          <w:szCs w:val="24"/>
          <w:lang w:val="en-GB"/>
        </w:rPr>
        <w:t xml:space="preserve">&lt; .0001), confirming the word category </w:t>
      </w:r>
      <w:r w:rsidR="000C68B1" w:rsidRPr="007C17A6">
        <w:rPr>
          <w:rFonts w:ascii="Times New Roman" w:hAnsi="Times New Roman" w:cs="Times New Roman"/>
          <w:sz w:val="24"/>
          <w:szCs w:val="24"/>
          <w:lang w:val="en-GB"/>
        </w:rPr>
        <w:t>dissociation</w:t>
      </w:r>
      <w:r w:rsidRPr="007C17A6">
        <w:rPr>
          <w:rFonts w:ascii="Times New Roman" w:hAnsi="Times New Roman" w:cs="Times New Roman"/>
          <w:sz w:val="24"/>
          <w:szCs w:val="24"/>
          <w:lang w:val="en-GB"/>
        </w:rPr>
        <w:t xml:space="preserve"> in the CA topographies and local cell-density distributions across </w:t>
      </w:r>
      <w:r w:rsidR="000C68B1" w:rsidRPr="007C17A6">
        <w:rPr>
          <w:rFonts w:ascii="Times New Roman" w:hAnsi="Times New Roman" w:cs="Times New Roman"/>
          <w:sz w:val="24"/>
          <w:szCs w:val="24"/>
          <w:lang w:val="en-GB"/>
        </w:rPr>
        <w:t xml:space="preserve">the extrasylvian regions </w:t>
      </w:r>
      <w:r w:rsidRPr="007C17A6">
        <w:rPr>
          <w:rFonts w:ascii="Times New Roman" w:hAnsi="Times New Roman" w:cs="Times New Roman"/>
          <w:sz w:val="24"/>
          <w:szCs w:val="24"/>
          <w:lang w:val="en-GB"/>
        </w:rPr>
        <w:t xml:space="preserve">as suggested by Figs 2 and 3. </w:t>
      </w:r>
      <w:r w:rsidR="000C68B1" w:rsidRPr="007C17A6">
        <w:rPr>
          <w:rFonts w:ascii="Times New Roman" w:hAnsi="Times New Roman" w:cs="Times New Roman"/>
          <w:sz w:val="24"/>
          <w:szCs w:val="24"/>
          <w:lang w:val="en-GB"/>
        </w:rPr>
        <w:t xml:space="preserve">No significant differences between CA distributions of the </w:t>
      </w:r>
      <w:r w:rsidR="000C68B1" w:rsidRPr="007C17A6">
        <w:rPr>
          <w:rFonts w:ascii="Times New Roman" w:hAnsi="Times New Roman" w:cs="Times New Roman"/>
          <w:noProof/>
          <w:sz w:val="24"/>
          <w:szCs w:val="24"/>
          <w:lang w:val="en-GB"/>
        </w:rPr>
        <w:t>2</w:t>
      </w:r>
      <w:r w:rsidR="000C68B1" w:rsidRPr="007C17A6">
        <w:rPr>
          <w:rFonts w:ascii="Times New Roman" w:hAnsi="Times New Roman" w:cs="Times New Roman"/>
          <w:sz w:val="24"/>
          <w:szCs w:val="24"/>
          <w:lang w:val="en-GB"/>
        </w:rPr>
        <w:t xml:space="preserve"> word types </w:t>
      </w:r>
      <w:r w:rsidR="000C68B1" w:rsidRPr="007C17A6">
        <w:rPr>
          <w:rFonts w:ascii="Times New Roman" w:hAnsi="Times New Roman" w:cs="Times New Roman"/>
          <w:noProof/>
          <w:sz w:val="24"/>
          <w:szCs w:val="24"/>
          <w:lang w:val="en-GB"/>
        </w:rPr>
        <w:t>were found</w:t>
      </w:r>
      <w:r w:rsidR="000C68B1" w:rsidRPr="007C17A6">
        <w:rPr>
          <w:rFonts w:ascii="Times New Roman" w:hAnsi="Times New Roman" w:cs="Times New Roman"/>
          <w:sz w:val="24"/>
          <w:szCs w:val="24"/>
          <w:lang w:val="en-GB"/>
        </w:rPr>
        <w:t xml:space="preserve"> in the perisylvian areas (F</w:t>
      </w:r>
      <w:r w:rsidR="000C68B1" w:rsidRPr="007C17A6">
        <w:rPr>
          <w:rFonts w:ascii="Times New Roman" w:hAnsi="Times New Roman" w:cs="Times New Roman"/>
          <w:sz w:val="24"/>
          <w:szCs w:val="24"/>
          <w:vertAlign w:val="subscript"/>
          <w:lang w:val="en-GB"/>
        </w:rPr>
        <w:t>2,22</w:t>
      </w:r>
      <w:r w:rsidR="000C68B1" w:rsidRPr="007C17A6">
        <w:rPr>
          <w:rFonts w:ascii="Times New Roman" w:hAnsi="Times New Roman" w:cs="Times New Roman"/>
          <w:sz w:val="24"/>
          <w:szCs w:val="24"/>
          <w:lang w:val="en-GB"/>
        </w:rPr>
        <w:t xml:space="preserve"> = 0.067, </w:t>
      </w:r>
      <w:r w:rsidR="000C68B1" w:rsidRPr="007C17A6">
        <w:rPr>
          <w:rFonts w:ascii="Times New Roman" w:hAnsi="Times New Roman" w:cs="Times New Roman"/>
          <w:i/>
          <w:sz w:val="24"/>
          <w:szCs w:val="24"/>
          <w:lang w:val="en-GB"/>
        </w:rPr>
        <w:t xml:space="preserve">p </w:t>
      </w:r>
      <w:r w:rsidR="000C68B1" w:rsidRPr="007C17A6">
        <w:rPr>
          <w:rFonts w:ascii="Times New Roman" w:hAnsi="Times New Roman" w:cs="Times New Roman"/>
          <w:sz w:val="24"/>
          <w:szCs w:val="24"/>
          <w:lang w:val="en-GB"/>
        </w:rPr>
        <w:t>= .93).</w:t>
      </w:r>
    </w:p>
    <w:p w14:paraId="27F7AA94" w14:textId="70FDBBED" w:rsidR="00A838DC" w:rsidRPr="007C17A6" w:rsidRDefault="000C68B1" w:rsidP="001F5D54">
      <w:pPr>
        <w:spacing w:line="240" w:lineRule="auto"/>
        <w:contextualSpacing/>
        <w:jc w:val="both"/>
        <w:rPr>
          <w:rFonts w:ascii="Times New Roman" w:hAnsi="Times New Roman" w:cs="Times New Roman"/>
          <w:sz w:val="24"/>
          <w:szCs w:val="24"/>
          <w:lang w:val="en-GB"/>
        </w:rPr>
      </w:pPr>
      <w:r w:rsidRPr="007C17A6">
        <w:rPr>
          <w:rFonts w:ascii="Times New Roman" w:hAnsi="Times New Roman" w:cs="Times New Roman"/>
          <w:sz w:val="24"/>
          <w:szCs w:val="24"/>
          <w:lang w:val="en-GB"/>
        </w:rPr>
        <w:t xml:space="preserve"> </w:t>
      </w:r>
      <w:r w:rsidR="00E5421A" w:rsidRPr="007C17A6">
        <w:rPr>
          <w:rFonts w:ascii="Times New Roman" w:hAnsi="Times New Roman" w:cs="Times New Roman"/>
          <w:sz w:val="24"/>
          <w:szCs w:val="24"/>
          <w:lang w:val="en-GB"/>
        </w:rPr>
        <w:t xml:space="preserve">We further ran Bonferroni-corrected planned comparison tests (12 comparisons, corrected critical </w:t>
      </w:r>
      <w:r w:rsidR="00E5421A" w:rsidRPr="007C17A6">
        <w:rPr>
          <w:rFonts w:ascii="Times New Roman" w:hAnsi="Times New Roman" w:cs="Times New Roman"/>
          <w:i/>
          <w:sz w:val="24"/>
          <w:szCs w:val="24"/>
          <w:lang w:val="en-GB"/>
        </w:rPr>
        <w:t>p</w:t>
      </w:r>
      <w:r w:rsidR="00E5421A" w:rsidRPr="007C17A6">
        <w:rPr>
          <w:rFonts w:ascii="Times New Roman" w:hAnsi="Times New Roman" w:cs="Times New Roman"/>
          <w:sz w:val="24"/>
          <w:szCs w:val="24"/>
          <w:lang w:val="en-GB"/>
        </w:rPr>
        <w:t xml:space="preserve"> &lt; .0042) to investigate the differences between CA types that emerged after learning. Differences in CA-cell densities between word types and pairs of areas in the semantic systems were all significant (p &lt; .0001), confirming the presence of a higher neuron-density in visual (V1, TO and AT) than in motor (M1</w:t>
      </w:r>
      <w:r w:rsidR="00E5421A" w:rsidRPr="007C17A6">
        <w:rPr>
          <w:rFonts w:ascii="Times New Roman" w:hAnsi="Times New Roman" w:cs="Times New Roman"/>
          <w:sz w:val="24"/>
          <w:szCs w:val="24"/>
          <w:vertAlign w:val="subscript"/>
          <w:lang w:val="en-GB"/>
        </w:rPr>
        <w:t>L</w:t>
      </w:r>
      <w:r w:rsidR="00E5421A" w:rsidRPr="007C17A6">
        <w:rPr>
          <w:rFonts w:ascii="Times New Roman" w:hAnsi="Times New Roman" w:cs="Times New Roman"/>
          <w:sz w:val="24"/>
          <w:szCs w:val="24"/>
          <w:lang w:val="en-GB"/>
        </w:rPr>
        <w:t>, PM</w:t>
      </w:r>
      <w:r w:rsidR="00E5421A" w:rsidRPr="007C17A6">
        <w:rPr>
          <w:rFonts w:ascii="Times New Roman" w:hAnsi="Times New Roman" w:cs="Times New Roman"/>
          <w:sz w:val="24"/>
          <w:szCs w:val="24"/>
          <w:vertAlign w:val="subscript"/>
          <w:lang w:val="en-GB"/>
        </w:rPr>
        <w:t>L</w:t>
      </w:r>
      <w:r w:rsidR="00E5421A" w:rsidRPr="007C17A6">
        <w:rPr>
          <w:rFonts w:ascii="Times New Roman" w:hAnsi="Times New Roman" w:cs="Times New Roman"/>
          <w:sz w:val="24"/>
          <w:szCs w:val="24"/>
          <w:lang w:val="en-GB"/>
        </w:rPr>
        <w:t xml:space="preserve"> and PF</w:t>
      </w:r>
      <w:r w:rsidR="00E5421A" w:rsidRPr="007C17A6">
        <w:rPr>
          <w:rFonts w:ascii="Times New Roman" w:hAnsi="Times New Roman" w:cs="Times New Roman"/>
          <w:sz w:val="24"/>
          <w:szCs w:val="24"/>
          <w:vertAlign w:val="subscript"/>
          <w:lang w:val="en-GB"/>
        </w:rPr>
        <w:t>L</w:t>
      </w:r>
      <w:r w:rsidR="00E5421A" w:rsidRPr="007C17A6">
        <w:rPr>
          <w:rFonts w:ascii="Times New Roman" w:hAnsi="Times New Roman" w:cs="Times New Roman"/>
          <w:sz w:val="24"/>
          <w:szCs w:val="24"/>
          <w:lang w:val="en-GB"/>
        </w:rPr>
        <w:t xml:space="preserve">) areas for object-related words </w:t>
      </w:r>
      <w:bookmarkStart w:id="131" w:name="OLE_LINK5"/>
      <w:bookmarkStart w:id="132" w:name="OLE_LINK6"/>
      <w:r w:rsidR="00E5421A" w:rsidRPr="007C17A6">
        <w:rPr>
          <w:rFonts w:ascii="Times New Roman" w:hAnsi="Times New Roman" w:cs="Times New Roman"/>
          <w:sz w:val="24"/>
          <w:szCs w:val="24"/>
          <w:lang w:val="en-GB"/>
        </w:rPr>
        <w:t>(</w:t>
      </w:r>
      <w:r w:rsidR="00E5421A" w:rsidRPr="007C17A6">
        <w:rPr>
          <w:rFonts w:ascii="Times New Roman" w:hAnsi="Times New Roman" w:cs="Times New Roman"/>
          <w:i/>
          <w:sz w:val="24"/>
          <w:szCs w:val="24"/>
          <w:lang w:val="en-GB"/>
        </w:rPr>
        <w:t>p</w:t>
      </w:r>
      <w:r w:rsidR="00E5421A" w:rsidRPr="007C17A6">
        <w:rPr>
          <w:rFonts w:ascii="Times New Roman" w:hAnsi="Times New Roman" w:cs="Times New Roman"/>
          <w:sz w:val="24"/>
          <w:szCs w:val="24"/>
          <w:lang w:val="en-GB"/>
        </w:rPr>
        <w:t xml:space="preserve"> &lt; .0001), </w:t>
      </w:r>
      <w:bookmarkEnd w:id="131"/>
      <w:bookmarkEnd w:id="132"/>
      <w:r w:rsidR="00E5421A" w:rsidRPr="007C17A6">
        <w:rPr>
          <w:rFonts w:ascii="Times New Roman" w:hAnsi="Times New Roman" w:cs="Times New Roman"/>
          <w:sz w:val="24"/>
          <w:szCs w:val="24"/>
          <w:lang w:val="en-GB"/>
        </w:rPr>
        <w:t>and the opposite for action-related words (</w:t>
      </w:r>
      <w:r w:rsidR="00E5421A" w:rsidRPr="007C17A6">
        <w:rPr>
          <w:rFonts w:ascii="Times New Roman" w:hAnsi="Times New Roman" w:cs="Times New Roman"/>
          <w:i/>
          <w:sz w:val="24"/>
          <w:szCs w:val="24"/>
          <w:lang w:val="en-GB"/>
        </w:rPr>
        <w:t>p</w:t>
      </w:r>
      <w:r w:rsidR="00E5421A" w:rsidRPr="007C17A6">
        <w:rPr>
          <w:rFonts w:ascii="Times New Roman" w:hAnsi="Times New Roman" w:cs="Times New Roman"/>
          <w:sz w:val="24"/>
          <w:szCs w:val="24"/>
          <w:lang w:val="en-GB"/>
        </w:rPr>
        <w:t xml:space="preserve"> &lt; .0001). Analysis of the connector hubs (AT, PF</w:t>
      </w:r>
      <w:r w:rsidR="00E5421A" w:rsidRPr="007C17A6">
        <w:rPr>
          <w:rFonts w:ascii="Times New Roman" w:hAnsi="Times New Roman" w:cs="Times New Roman"/>
          <w:sz w:val="24"/>
          <w:szCs w:val="24"/>
          <w:vertAlign w:val="subscript"/>
          <w:lang w:val="en-GB"/>
        </w:rPr>
        <w:t>L</w:t>
      </w:r>
      <w:r w:rsidR="00E5421A" w:rsidRPr="007C17A6">
        <w:rPr>
          <w:rFonts w:ascii="Times New Roman" w:hAnsi="Times New Roman" w:cs="Times New Roman"/>
          <w:sz w:val="24"/>
          <w:szCs w:val="24"/>
          <w:lang w:val="en-GB"/>
        </w:rPr>
        <w:t xml:space="preserve">) also showed a significant difference between the </w:t>
      </w:r>
      <w:r w:rsidR="00E5421A" w:rsidRPr="007C17A6">
        <w:rPr>
          <w:rFonts w:ascii="Times New Roman" w:hAnsi="Times New Roman" w:cs="Times New Roman"/>
          <w:noProof/>
          <w:sz w:val="24"/>
          <w:szCs w:val="24"/>
          <w:lang w:val="en-GB"/>
        </w:rPr>
        <w:t>2</w:t>
      </w:r>
      <w:r w:rsidR="00E5421A" w:rsidRPr="007C17A6">
        <w:rPr>
          <w:rFonts w:ascii="Times New Roman" w:hAnsi="Times New Roman" w:cs="Times New Roman"/>
          <w:sz w:val="24"/>
          <w:szCs w:val="24"/>
          <w:lang w:val="en-GB"/>
        </w:rPr>
        <w:t xml:space="preserve"> word types there, </w:t>
      </w:r>
      <w:r w:rsidR="00E5421A" w:rsidRPr="007C17A6">
        <w:rPr>
          <w:rFonts w:ascii="Times New Roman" w:hAnsi="Times New Roman" w:cs="Times New Roman"/>
          <w:noProof/>
          <w:sz w:val="24"/>
          <w:szCs w:val="24"/>
          <w:lang w:val="en-GB"/>
        </w:rPr>
        <w:t>i.e.</w:t>
      </w:r>
      <w:r w:rsidR="00E5421A" w:rsidRPr="007C17A6">
        <w:rPr>
          <w:rFonts w:ascii="Times New Roman" w:hAnsi="Times New Roman" w:cs="Times New Roman"/>
          <w:sz w:val="24"/>
          <w:szCs w:val="24"/>
          <w:lang w:val="en-GB"/>
        </w:rPr>
        <w:t xml:space="preserve"> stronger action-related word CA cell densities in PF</w:t>
      </w:r>
      <w:r w:rsidR="00E5421A" w:rsidRPr="007C17A6">
        <w:rPr>
          <w:rFonts w:ascii="Times New Roman" w:hAnsi="Times New Roman" w:cs="Times New Roman"/>
          <w:sz w:val="24"/>
          <w:szCs w:val="24"/>
          <w:vertAlign w:val="subscript"/>
          <w:lang w:val="en-GB"/>
        </w:rPr>
        <w:t>L</w:t>
      </w:r>
      <w:r w:rsidR="00E5421A" w:rsidRPr="007C17A6">
        <w:rPr>
          <w:rFonts w:ascii="Times New Roman" w:hAnsi="Times New Roman" w:cs="Times New Roman"/>
          <w:sz w:val="24"/>
          <w:szCs w:val="24"/>
          <w:lang w:val="en-GB"/>
        </w:rPr>
        <w:t xml:space="preserve"> compared to AT (</w:t>
      </w:r>
      <w:r w:rsidR="00E5421A" w:rsidRPr="007C17A6">
        <w:rPr>
          <w:rFonts w:ascii="Times New Roman" w:hAnsi="Times New Roman" w:cs="Times New Roman"/>
          <w:i/>
          <w:sz w:val="24"/>
          <w:szCs w:val="24"/>
          <w:lang w:val="en-GB"/>
        </w:rPr>
        <w:t xml:space="preserve">p </w:t>
      </w:r>
      <w:r w:rsidR="00E5421A" w:rsidRPr="007C17A6">
        <w:rPr>
          <w:rFonts w:ascii="Times New Roman" w:hAnsi="Times New Roman" w:cs="Times New Roman"/>
          <w:sz w:val="24"/>
          <w:szCs w:val="24"/>
          <w:lang w:val="en-GB"/>
        </w:rPr>
        <w:t>&lt;.0001), and the opposite for object-related words (</w:t>
      </w:r>
      <w:r w:rsidR="00E5421A" w:rsidRPr="007C17A6">
        <w:rPr>
          <w:rFonts w:ascii="Times New Roman" w:hAnsi="Times New Roman" w:cs="Times New Roman"/>
          <w:i/>
          <w:sz w:val="24"/>
          <w:szCs w:val="24"/>
          <w:lang w:val="en-GB"/>
        </w:rPr>
        <w:t xml:space="preserve">p </w:t>
      </w:r>
      <w:r w:rsidR="00E5421A" w:rsidRPr="007C17A6">
        <w:rPr>
          <w:rFonts w:ascii="Times New Roman" w:hAnsi="Times New Roman" w:cs="Times New Roman"/>
          <w:sz w:val="24"/>
          <w:szCs w:val="24"/>
          <w:lang w:val="en-GB"/>
        </w:rPr>
        <w:t>&lt;.0001). As observed above, no significant differences emerged in the perisylvian areas (</w:t>
      </w:r>
      <w:r w:rsidR="00E5421A" w:rsidRPr="007C17A6">
        <w:rPr>
          <w:rFonts w:ascii="Times New Roman" w:hAnsi="Times New Roman" w:cs="Times New Roman"/>
          <w:i/>
          <w:sz w:val="24"/>
          <w:szCs w:val="24"/>
          <w:lang w:val="en-GB"/>
        </w:rPr>
        <w:t xml:space="preserve">p </w:t>
      </w:r>
      <w:r w:rsidR="00E5421A" w:rsidRPr="007C17A6">
        <w:rPr>
          <w:rFonts w:ascii="Times New Roman" w:hAnsi="Times New Roman" w:cs="Times New Roman"/>
          <w:sz w:val="24"/>
          <w:szCs w:val="24"/>
          <w:lang w:val="en-GB"/>
        </w:rPr>
        <w:t>= .029) betwe</w:t>
      </w:r>
      <w:r w:rsidR="00D54BE4" w:rsidRPr="007C17A6">
        <w:rPr>
          <w:rFonts w:ascii="Times New Roman" w:hAnsi="Times New Roman" w:cs="Times New Roman"/>
          <w:sz w:val="24"/>
          <w:szCs w:val="24"/>
          <w:lang w:val="en-GB"/>
        </w:rPr>
        <w:t xml:space="preserve">en the word </w:t>
      </w:r>
      <w:r w:rsidR="00E5421A" w:rsidRPr="007C17A6">
        <w:rPr>
          <w:rFonts w:ascii="Times New Roman" w:hAnsi="Times New Roman" w:cs="Times New Roman"/>
          <w:sz w:val="24"/>
          <w:szCs w:val="24"/>
          <w:lang w:val="en-GB"/>
        </w:rPr>
        <w:t>types. We further run the same statistical analysis on the object and action recognition data, which revealed similar results as the word production simulation, i.e. double dissociation between action and object-related words in the extrasylvian system (F</w:t>
      </w:r>
      <w:r w:rsidR="00E5421A" w:rsidRPr="007C17A6">
        <w:rPr>
          <w:rFonts w:ascii="Times New Roman" w:hAnsi="Times New Roman" w:cs="Times New Roman"/>
          <w:sz w:val="24"/>
          <w:szCs w:val="24"/>
          <w:vertAlign w:val="subscript"/>
          <w:lang w:val="en-GB"/>
        </w:rPr>
        <w:t>2,22</w:t>
      </w:r>
      <w:r w:rsidR="00E5421A" w:rsidRPr="007C17A6">
        <w:rPr>
          <w:rFonts w:ascii="Times New Roman" w:hAnsi="Times New Roman" w:cs="Times New Roman"/>
          <w:sz w:val="24"/>
          <w:szCs w:val="24"/>
          <w:lang w:val="en-GB"/>
        </w:rPr>
        <w:t xml:space="preserve"> = 467.321, </w:t>
      </w:r>
      <w:r w:rsidR="00E5421A" w:rsidRPr="007C17A6">
        <w:rPr>
          <w:rFonts w:ascii="Times New Roman" w:hAnsi="Times New Roman" w:cs="Times New Roman"/>
          <w:i/>
          <w:sz w:val="24"/>
          <w:szCs w:val="24"/>
          <w:lang w:val="en-GB"/>
        </w:rPr>
        <w:t xml:space="preserve">p </w:t>
      </w:r>
      <w:r w:rsidR="00E5421A" w:rsidRPr="007C17A6">
        <w:rPr>
          <w:rFonts w:ascii="Times New Roman" w:hAnsi="Times New Roman" w:cs="Times New Roman"/>
          <w:sz w:val="24"/>
          <w:szCs w:val="24"/>
          <w:lang w:val="en-GB"/>
        </w:rPr>
        <w:t>&lt; .0001) with no significant difference in perisylvian cortex (F</w:t>
      </w:r>
      <w:r w:rsidR="00E5421A" w:rsidRPr="007C17A6">
        <w:rPr>
          <w:rFonts w:ascii="Times New Roman" w:hAnsi="Times New Roman" w:cs="Times New Roman"/>
          <w:sz w:val="24"/>
          <w:szCs w:val="24"/>
          <w:vertAlign w:val="subscript"/>
          <w:lang w:val="en-GB"/>
        </w:rPr>
        <w:t>2,22</w:t>
      </w:r>
      <w:r w:rsidR="00E5421A" w:rsidRPr="007C17A6">
        <w:rPr>
          <w:rFonts w:ascii="Times New Roman" w:hAnsi="Times New Roman" w:cs="Times New Roman"/>
          <w:sz w:val="24"/>
          <w:szCs w:val="24"/>
          <w:lang w:val="en-GB"/>
        </w:rPr>
        <w:t xml:space="preserve"> = 0.060, </w:t>
      </w:r>
      <w:r w:rsidR="00E5421A" w:rsidRPr="007C17A6">
        <w:rPr>
          <w:rFonts w:ascii="Times New Roman" w:hAnsi="Times New Roman" w:cs="Times New Roman"/>
          <w:i/>
          <w:sz w:val="24"/>
          <w:szCs w:val="24"/>
          <w:lang w:val="en-GB"/>
        </w:rPr>
        <w:t xml:space="preserve">p </w:t>
      </w:r>
      <w:r w:rsidR="00E5421A" w:rsidRPr="007C17A6">
        <w:rPr>
          <w:rFonts w:ascii="Times New Roman" w:hAnsi="Times New Roman" w:cs="Times New Roman"/>
          <w:sz w:val="24"/>
          <w:szCs w:val="24"/>
          <w:lang w:val="en-GB"/>
        </w:rPr>
        <w:t xml:space="preserve">&lt; .91).  </w:t>
      </w:r>
    </w:p>
    <w:p w14:paraId="6357ADCE" w14:textId="6DEFA5AF" w:rsidR="00A838DC" w:rsidRPr="007C17A6" w:rsidRDefault="00E5421A" w:rsidP="00E740D6">
      <w:pPr>
        <w:pStyle w:val="Heading1"/>
        <w:spacing w:line="240" w:lineRule="auto"/>
        <w:contextualSpacing/>
        <w:rPr>
          <w:rFonts w:ascii="Times New Roman" w:hAnsi="Times New Roman"/>
          <w:sz w:val="24"/>
          <w:szCs w:val="24"/>
        </w:rPr>
      </w:pPr>
      <w:r w:rsidRPr="007C17A6">
        <w:rPr>
          <w:rFonts w:ascii="Times New Roman" w:hAnsi="Times New Roman"/>
          <w:b/>
          <w:sz w:val="24"/>
          <w:szCs w:val="24"/>
          <w:lang w:val="en-GB"/>
        </w:rPr>
        <w:t>Discussion</w:t>
      </w:r>
    </w:p>
    <w:p w14:paraId="35B3A0F6" w14:textId="63351879" w:rsidR="00A838DC" w:rsidRPr="007C17A6" w:rsidRDefault="006A346A" w:rsidP="0077421C">
      <w:pPr>
        <w:spacing w:before="120" w:after="120" w:line="240" w:lineRule="auto"/>
        <w:contextualSpacing/>
        <w:jc w:val="both"/>
        <w:rPr>
          <w:rFonts w:ascii="Times New Roman" w:hAnsi="Times New Roman" w:cs="Times New Roman"/>
          <w:color w:val="000000" w:themeColor="text1"/>
          <w:sz w:val="24"/>
          <w:szCs w:val="24"/>
          <w:lang w:val="en-GB"/>
        </w:rPr>
      </w:pPr>
      <w:r w:rsidRPr="007C17A6">
        <w:rPr>
          <w:rFonts w:ascii="Times New Roman" w:hAnsi="Times New Roman" w:cs="Times New Roman"/>
          <w:color w:val="000000" w:themeColor="text1"/>
          <w:sz w:val="24"/>
          <w:szCs w:val="24"/>
          <w:lang w:val="en-GB"/>
        </w:rPr>
        <w:t xml:space="preserve">We </w:t>
      </w:r>
      <w:r w:rsidR="00E27C1E" w:rsidRPr="007C17A6">
        <w:rPr>
          <w:rFonts w:ascii="Times New Roman" w:hAnsi="Times New Roman" w:cs="Times New Roman"/>
          <w:color w:val="000000" w:themeColor="text1"/>
          <w:sz w:val="24"/>
          <w:szCs w:val="24"/>
          <w:lang w:val="en-GB"/>
        </w:rPr>
        <w:t>investigated the neural mechanism</w:t>
      </w:r>
      <w:r w:rsidR="007478DD" w:rsidRPr="007C17A6">
        <w:rPr>
          <w:rFonts w:ascii="Times New Roman" w:hAnsi="Times New Roman" w:cs="Times New Roman"/>
          <w:color w:val="000000" w:themeColor="text1"/>
          <w:sz w:val="24"/>
          <w:szCs w:val="24"/>
          <w:lang w:val="en-GB"/>
        </w:rPr>
        <w:t>s underlying</w:t>
      </w:r>
      <w:r w:rsidR="00E27C1E" w:rsidRPr="007C17A6">
        <w:rPr>
          <w:rFonts w:ascii="Times New Roman" w:hAnsi="Times New Roman" w:cs="Times New Roman"/>
          <w:color w:val="000000" w:themeColor="text1"/>
          <w:sz w:val="24"/>
          <w:szCs w:val="24"/>
          <w:lang w:val="en-GB"/>
        </w:rPr>
        <w:t xml:space="preserve"> word learning in</w:t>
      </w:r>
      <w:r w:rsidRPr="007C17A6">
        <w:rPr>
          <w:rFonts w:ascii="Times New Roman" w:hAnsi="Times New Roman" w:cs="Times New Roman"/>
          <w:color w:val="000000" w:themeColor="text1"/>
          <w:sz w:val="24"/>
          <w:szCs w:val="24"/>
          <w:lang w:val="en-GB"/>
        </w:rPr>
        <w:t xml:space="preserve"> a biologically </w:t>
      </w:r>
      <w:r w:rsidR="00E5421A" w:rsidRPr="007C17A6">
        <w:rPr>
          <w:rFonts w:ascii="Times New Roman" w:hAnsi="Times New Roman" w:cs="Times New Roman"/>
          <w:color w:val="000000" w:themeColor="text1"/>
          <w:sz w:val="24"/>
          <w:szCs w:val="24"/>
          <w:lang w:val="en-GB"/>
        </w:rPr>
        <w:t xml:space="preserve">constrained spiking model </w:t>
      </w:r>
      <w:r w:rsidR="00BF1A84" w:rsidRPr="007C17A6">
        <w:rPr>
          <w:rFonts w:ascii="Times New Roman" w:hAnsi="Times New Roman" w:cs="Times New Roman"/>
          <w:color w:val="000000" w:themeColor="text1"/>
          <w:sz w:val="24"/>
          <w:szCs w:val="24"/>
          <w:lang w:val="en-GB"/>
        </w:rPr>
        <w:t>replicating</w:t>
      </w:r>
      <w:r w:rsidR="00E5421A" w:rsidRPr="007C17A6">
        <w:rPr>
          <w:rFonts w:ascii="Times New Roman" w:hAnsi="Times New Roman" w:cs="Times New Roman"/>
          <w:color w:val="000000" w:themeColor="text1"/>
          <w:sz w:val="24"/>
          <w:szCs w:val="24"/>
          <w:lang w:val="en-GB"/>
        </w:rPr>
        <w:t xml:space="preserve"> </w:t>
      </w:r>
      <w:r w:rsidR="00E27C1E" w:rsidRPr="007C17A6">
        <w:rPr>
          <w:rFonts w:ascii="Times New Roman" w:hAnsi="Times New Roman" w:cs="Times New Roman"/>
          <w:color w:val="000000" w:themeColor="text1"/>
          <w:sz w:val="24"/>
          <w:szCs w:val="24"/>
          <w:lang w:val="en-GB"/>
        </w:rPr>
        <w:t>connectivity and cortical</w:t>
      </w:r>
      <w:r w:rsidR="00E5421A" w:rsidRPr="007C17A6">
        <w:rPr>
          <w:rFonts w:ascii="Times New Roman" w:hAnsi="Times New Roman" w:cs="Times New Roman"/>
          <w:color w:val="000000" w:themeColor="text1"/>
          <w:sz w:val="24"/>
          <w:szCs w:val="24"/>
          <w:lang w:val="en-GB"/>
        </w:rPr>
        <w:t xml:space="preserve"> features of the </w:t>
      </w:r>
      <w:r w:rsidR="00E5421A" w:rsidRPr="007C17A6">
        <w:rPr>
          <w:rFonts w:ascii="Times New Roman" w:hAnsi="Times New Roman" w:cs="Times New Roman"/>
          <w:noProof/>
          <w:color w:val="000000" w:themeColor="text1"/>
          <w:sz w:val="24"/>
          <w:szCs w:val="24"/>
          <w:lang w:val="en-GB"/>
        </w:rPr>
        <w:t>fronto</w:t>
      </w:r>
      <w:r w:rsidR="00E5421A" w:rsidRPr="007C17A6">
        <w:rPr>
          <w:rFonts w:ascii="Times New Roman" w:hAnsi="Times New Roman" w:cs="Times New Roman"/>
          <w:color w:val="000000" w:themeColor="text1"/>
          <w:sz w:val="24"/>
          <w:szCs w:val="24"/>
          <w:lang w:val="en-GB"/>
        </w:rPr>
        <w:t>-</w:t>
      </w:r>
      <w:r w:rsidR="00E5421A" w:rsidRPr="007C17A6">
        <w:rPr>
          <w:rFonts w:ascii="Times New Roman" w:hAnsi="Times New Roman" w:cs="Times New Roman"/>
          <w:noProof/>
          <w:color w:val="000000" w:themeColor="text1"/>
          <w:sz w:val="24"/>
          <w:szCs w:val="24"/>
          <w:lang w:val="en-GB"/>
        </w:rPr>
        <w:t>temporo</w:t>
      </w:r>
      <w:r w:rsidR="00E5421A" w:rsidRPr="007C17A6">
        <w:rPr>
          <w:rFonts w:ascii="Times New Roman" w:hAnsi="Times New Roman" w:cs="Times New Roman"/>
          <w:color w:val="000000" w:themeColor="text1"/>
          <w:sz w:val="24"/>
          <w:szCs w:val="24"/>
          <w:lang w:val="en-GB"/>
        </w:rPr>
        <w:t xml:space="preserve">-occipital </w:t>
      </w:r>
      <w:r w:rsidR="00BF1A84" w:rsidRPr="007C17A6">
        <w:rPr>
          <w:rFonts w:ascii="Times New Roman" w:hAnsi="Times New Roman" w:cs="Times New Roman"/>
          <w:color w:val="000000" w:themeColor="text1"/>
          <w:sz w:val="24"/>
          <w:szCs w:val="24"/>
          <w:lang w:val="en-GB"/>
        </w:rPr>
        <w:t>lobe</w:t>
      </w:r>
      <w:r w:rsidR="009D2973" w:rsidRPr="007C17A6">
        <w:rPr>
          <w:rFonts w:ascii="Times New Roman" w:hAnsi="Times New Roman" w:cs="Times New Roman"/>
          <w:color w:val="000000" w:themeColor="text1"/>
          <w:sz w:val="24"/>
          <w:szCs w:val="24"/>
          <w:lang w:val="en-GB"/>
        </w:rPr>
        <w:t>s</w:t>
      </w:r>
      <w:r w:rsidR="00E27C1E" w:rsidRPr="007C17A6">
        <w:rPr>
          <w:rFonts w:ascii="Times New Roman" w:hAnsi="Times New Roman" w:cs="Times New Roman"/>
          <w:color w:val="000000" w:themeColor="text1"/>
          <w:sz w:val="24"/>
          <w:szCs w:val="24"/>
          <w:lang w:val="en-GB"/>
        </w:rPr>
        <w:t xml:space="preserve"> </w:t>
      </w:r>
      <w:r w:rsidR="00E5421A" w:rsidRPr="007C17A6">
        <w:rPr>
          <w:rFonts w:ascii="Times New Roman" w:hAnsi="Times New Roman" w:cs="Times New Roman"/>
          <w:color w:val="000000" w:themeColor="text1"/>
          <w:sz w:val="24"/>
          <w:szCs w:val="24"/>
          <w:lang w:val="en-GB"/>
        </w:rPr>
        <w:t>to simulate</w:t>
      </w:r>
      <w:r w:rsidR="00E27C1E" w:rsidRPr="007C17A6">
        <w:rPr>
          <w:rFonts w:ascii="Times New Roman" w:hAnsi="Times New Roman" w:cs="Times New Roman"/>
          <w:color w:val="000000" w:themeColor="text1"/>
          <w:sz w:val="24"/>
          <w:szCs w:val="24"/>
          <w:lang w:val="en-GB"/>
        </w:rPr>
        <w:t xml:space="preserve"> </w:t>
      </w:r>
      <w:r w:rsidR="00E5421A" w:rsidRPr="007C17A6">
        <w:rPr>
          <w:rFonts w:ascii="Times New Roman" w:hAnsi="Times New Roman" w:cs="Times New Roman"/>
          <w:color w:val="000000" w:themeColor="text1"/>
          <w:sz w:val="24"/>
          <w:szCs w:val="24"/>
          <w:lang w:val="en-GB"/>
        </w:rPr>
        <w:t>aspects of semantic grounding in action and perception. The present neural-network showed</w:t>
      </w:r>
    </w:p>
    <w:p w14:paraId="4732D123" w14:textId="77777777" w:rsidR="00A838DC" w:rsidRPr="007C17A6" w:rsidRDefault="00E5421A" w:rsidP="00D050D1">
      <w:pPr>
        <w:pStyle w:val="ListParagraph"/>
        <w:numPr>
          <w:ilvl w:val="0"/>
          <w:numId w:val="4"/>
        </w:numPr>
        <w:spacing w:before="120" w:after="120" w:line="240" w:lineRule="auto"/>
        <w:contextualSpacing w:val="0"/>
        <w:rPr>
          <w:rFonts w:ascii="Times New Roman" w:hAnsi="Times New Roman" w:cs="Times New Roman"/>
        </w:rPr>
      </w:pPr>
      <w:r w:rsidRPr="007C17A6">
        <w:rPr>
          <w:rFonts w:ascii="Times New Roman" w:hAnsi="Times New Roman" w:cs="Times New Roman"/>
          <w:noProof/>
          <w:color w:val="000000" w:themeColor="text1"/>
          <w:sz w:val="24"/>
          <w:szCs w:val="24"/>
          <w:lang w:val="en-GB"/>
        </w:rPr>
        <w:t>emergence</w:t>
      </w:r>
      <w:r w:rsidRPr="007C17A6">
        <w:rPr>
          <w:rFonts w:ascii="Times New Roman" w:hAnsi="Times New Roman" w:cs="Times New Roman"/>
          <w:color w:val="000000" w:themeColor="text1"/>
          <w:sz w:val="24"/>
          <w:szCs w:val="24"/>
          <w:lang w:val="en-GB"/>
        </w:rPr>
        <w:t xml:space="preserve"> of neuron circuits distributed across primary, secondary and multimodal areas, </w:t>
      </w:r>
      <w:r w:rsidRPr="007C17A6">
        <w:rPr>
          <w:rFonts w:ascii="Times New Roman" w:hAnsi="Times New Roman" w:cs="Times New Roman"/>
          <w:sz w:val="24"/>
          <w:szCs w:val="24"/>
          <w:lang w:val="en-GB"/>
        </w:rPr>
        <w:t>as a result of simulating the grounding of word-forms in their semantically-related objects and actions (Fig 2)</w:t>
      </w:r>
      <w:r w:rsidRPr="007C17A6">
        <w:rPr>
          <w:rFonts w:ascii="Times New Roman" w:hAnsi="Times New Roman" w:cs="Times New Roman"/>
          <w:color w:val="000000" w:themeColor="text1"/>
          <w:sz w:val="24"/>
          <w:szCs w:val="24"/>
          <w:lang w:val="en-GB"/>
        </w:rPr>
        <w:t>. We call these ‘semantic circuits</w:t>
      </w:r>
      <w:r w:rsidRPr="007C17A6">
        <w:rPr>
          <w:rFonts w:ascii="Times New Roman" w:hAnsi="Times New Roman" w:cs="Times New Roman"/>
          <w:noProof/>
          <w:color w:val="000000" w:themeColor="text1"/>
          <w:sz w:val="24"/>
          <w:szCs w:val="24"/>
          <w:lang w:val="en-GB"/>
        </w:rPr>
        <w:t>’,</w:t>
      </w:r>
      <w:r w:rsidRPr="007C17A6">
        <w:rPr>
          <w:rFonts w:ascii="Times New Roman" w:hAnsi="Times New Roman" w:cs="Times New Roman"/>
          <w:color w:val="000000" w:themeColor="text1"/>
          <w:sz w:val="24"/>
          <w:szCs w:val="24"/>
          <w:lang w:val="en-GB"/>
        </w:rPr>
        <w:t xml:space="preserve"> because they interlink articulatory-acoustic word-from information with referential semantic representation coded in motor and visual areas;</w:t>
      </w:r>
    </w:p>
    <w:p w14:paraId="1FF3029C" w14:textId="3C390B8B" w:rsidR="00AF3E8E" w:rsidRPr="007C17A6" w:rsidRDefault="00E5421A" w:rsidP="00057B31">
      <w:pPr>
        <w:pStyle w:val="ListParagraph"/>
        <w:numPr>
          <w:ilvl w:val="0"/>
          <w:numId w:val="4"/>
        </w:numPr>
        <w:spacing w:before="120" w:after="120" w:line="240" w:lineRule="auto"/>
        <w:contextualSpacing w:val="0"/>
        <w:rPr>
          <w:rFonts w:ascii="Times New Roman" w:hAnsi="Times New Roman" w:cs="Times New Roman"/>
        </w:rPr>
      </w:pPr>
      <w:r w:rsidRPr="007C17A6">
        <w:rPr>
          <w:rFonts w:ascii="Times New Roman" w:hAnsi="Times New Roman" w:cs="Times New Roman"/>
          <w:color w:val="000000" w:themeColor="text1"/>
          <w:sz w:val="24"/>
          <w:szCs w:val="24"/>
          <w:lang w:val="en-GB"/>
        </w:rPr>
        <w:t xml:space="preserve">re-activation of the word-related circuits during word recognition </w:t>
      </w:r>
      <w:r w:rsidR="009E30C9" w:rsidRPr="007C17A6">
        <w:rPr>
          <w:rFonts w:ascii="Times New Roman" w:hAnsi="Times New Roman" w:cs="Times New Roman"/>
          <w:sz w:val="24"/>
          <w:szCs w:val="24"/>
          <w:lang w:val="en-GB"/>
        </w:rPr>
        <w:t>exhibited</w:t>
      </w:r>
      <w:r w:rsidR="00057B31" w:rsidRPr="007C17A6">
        <w:rPr>
          <w:rFonts w:ascii="Times New Roman" w:hAnsi="Times New Roman" w:cs="Times New Roman"/>
          <w:sz w:val="24"/>
          <w:szCs w:val="24"/>
          <w:lang w:val="en-GB"/>
        </w:rPr>
        <w:t xml:space="preserve"> the distinct consecutive neuronal and cognitive processes of word perception, word understanding and working memory</w:t>
      </w:r>
      <w:r w:rsidR="00CA449E" w:rsidRPr="007C17A6">
        <w:rPr>
          <w:rFonts w:ascii="Times New Roman" w:hAnsi="Times New Roman" w:cs="Times New Roman"/>
          <w:color w:val="000000" w:themeColor="text1"/>
          <w:sz w:val="24"/>
          <w:szCs w:val="24"/>
          <w:lang w:val="en-GB"/>
        </w:rPr>
        <w:t xml:space="preserve"> (Fig 3);</w:t>
      </w:r>
    </w:p>
    <w:p w14:paraId="1BD529BB" w14:textId="40666059" w:rsidR="00AF3E8E" w:rsidRPr="007C17A6" w:rsidRDefault="00D54BE4" w:rsidP="004143C2">
      <w:pPr>
        <w:pStyle w:val="ListParagraph"/>
        <w:numPr>
          <w:ilvl w:val="0"/>
          <w:numId w:val="4"/>
        </w:numPr>
        <w:spacing w:before="120" w:after="120" w:line="240" w:lineRule="auto"/>
        <w:contextualSpacing w:val="0"/>
        <w:rPr>
          <w:rFonts w:ascii="Times New Roman" w:hAnsi="Times New Roman" w:cs="Times New Roman"/>
        </w:rPr>
      </w:pPr>
      <w:r w:rsidRPr="007C17A6">
        <w:rPr>
          <w:rFonts w:ascii="Times New Roman" w:hAnsi="Times New Roman" w:cs="Times New Roman"/>
          <w:color w:val="000000" w:themeColor="text1"/>
          <w:sz w:val="24"/>
          <w:szCs w:val="24"/>
          <w:lang w:val="en-GB"/>
        </w:rPr>
        <w:t xml:space="preserve">higher neuron </w:t>
      </w:r>
      <w:r w:rsidR="00E5421A" w:rsidRPr="007C17A6">
        <w:rPr>
          <w:rFonts w:ascii="Times New Roman" w:hAnsi="Times New Roman" w:cs="Times New Roman"/>
          <w:color w:val="000000" w:themeColor="text1"/>
          <w:sz w:val="24"/>
          <w:szCs w:val="24"/>
          <w:lang w:val="en-GB"/>
        </w:rPr>
        <w:t>densities</w:t>
      </w:r>
      <w:r w:rsidR="004143C2" w:rsidRPr="007C17A6">
        <w:rPr>
          <w:rFonts w:ascii="Times New Roman" w:hAnsi="Times New Roman" w:cs="Times New Roman"/>
          <w:color w:val="000000" w:themeColor="text1"/>
          <w:sz w:val="24"/>
          <w:szCs w:val="24"/>
          <w:lang w:val="en-GB"/>
        </w:rPr>
        <w:t xml:space="preserve"> of the semantic circuits and prolonged activity</w:t>
      </w:r>
      <w:r w:rsidR="00E5421A" w:rsidRPr="007C17A6">
        <w:rPr>
          <w:rFonts w:ascii="Times New Roman" w:hAnsi="Times New Roman" w:cs="Times New Roman"/>
          <w:color w:val="000000" w:themeColor="text1"/>
          <w:sz w:val="24"/>
          <w:szCs w:val="24"/>
          <w:lang w:val="en-GB"/>
        </w:rPr>
        <w:t xml:space="preserve"> in the multimodal areas, where all semantic and phonological information first converges;</w:t>
      </w:r>
    </w:p>
    <w:p w14:paraId="00B63FBD" w14:textId="06760544" w:rsidR="00E740D6" w:rsidRPr="007C17A6" w:rsidRDefault="00E5421A" w:rsidP="00D050D1">
      <w:pPr>
        <w:pStyle w:val="ListParagraph"/>
        <w:numPr>
          <w:ilvl w:val="0"/>
          <w:numId w:val="4"/>
        </w:numPr>
        <w:spacing w:before="120" w:after="120" w:line="240" w:lineRule="auto"/>
        <w:contextualSpacing w:val="0"/>
        <w:rPr>
          <w:rFonts w:ascii="Times New Roman" w:hAnsi="Times New Roman" w:cs="Times New Roman"/>
        </w:rPr>
      </w:pPr>
      <w:r w:rsidRPr="007C17A6">
        <w:rPr>
          <w:rFonts w:ascii="Times New Roman" w:hAnsi="Times New Roman" w:cs="Times New Roman"/>
          <w:color w:val="000000" w:themeColor="text1"/>
          <w:sz w:val="24"/>
          <w:szCs w:val="24"/>
          <w:lang w:val="en-GB"/>
        </w:rPr>
        <w:t>pronounced semantic category-specificity primarily in the modality-preferential areas and moderate specificity also in multimodal areas for both word production and object and action recognition (Fig 4 A-B).</w:t>
      </w:r>
    </w:p>
    <w:p w14:paraId="15A82F28" w14:textId="1333F0B0" w:rsidR="00A838DC" w:rsidRPr="007C17A6" w:rsidRDefault="00E5421A" w:rsidP="0077421C">
      <w:pPr>
        <w:spacing w:before="120" w:after="120" w:line="240" w:lineRule="auto"/>
        <w:contextualSpacing/>
        <w:jc w:val="both"/>
        <w:rPr>
          <w:rFonts w:ascii="Times New Roman" w:hAnsi="Times New Roman" w:cs="Times New Roman"/>
          <w:color w:val="000000" w:themeColor="text1"/>
          <w:sz w:val="24"/>
          <w:szCs w:val="24"/>
          <w:lang w:val="en-GB"/>
        </w:rPr>
      </w:pPr>
      <w:r w:rsidRPr="007C17A6">
        <w:rPr>
          <w:rFonts w:ascii="Times New Roman" w:hAnsi="Times New Roman" w:cs="Times New Roman"/>
          <w:sz w:val="24"/>
          <w:szCs w:val="24"/>
          <w:lang w:val="en-GB"/>
        </w:rPr>
        <w:t>The present simulation</w:t>
      </w:r>
      <w:r w:rsidR="00B84E09" w:rsidRPr="007C17A6">
        <w:rPr>
          <w:rFonts w:ascii="Times New Roman" w:hAnsi="Times New Roman" w:cs="Times New Roman"/>
          <w:sz w:val="24"/>
          <w:szCs w:val="24"/>
          <w:lang w:val="en-GB"/>
        </w:rPr>
        <w:t>s</w:t>
      </w:r>
      <w:r w:rsidRPr="007C17A6">
        <w:rPr>
          <w:rFonts w:ascii="Times New Roman" w:hAnsi="Times New Roman" w:cs="Times New Roman"/>
          <w:sz w:val="24"/>
          <w:szCs w:val="24"/>
          <w:lang w:val="en-GB"/>
        </w:rPr>
        <w:t xml:space="preserve"> </w:t>
      </w:r>
      <w:r w:rsidR="00B84E09" w:rsidRPr="007C17A6">
        <w:rPr>
          <w:rFonts w:ascii="Times New Roman" w:hAnsi="Times New Roman" w:cs="Times New Roman"/>
          <w:sz w:val="24"/>
          <w:szCs w:val="24"/>
          <w:lang w:val="en-GB"/>
        </w:rPr>
        <w:t>offer</w:t>
      </w:r>
      <w:r w:rsidRPr="007C17A6">
        <w:rPr>
          <w:rFonts w:ascii="Times New Roman" w:hAnsi="Times New Roman" w:cs="Times New Roman"/>
          <w:sz w:val="24"/>
          <w:szCs w:val="24"/>
          <w:lang w:val="en-GB"/>
        </w:rPr>
        <w:t xml:space="preserve"> a neurobiological explanation of a wide range of recent experimental </w:t>
      </w:r>
      <w:r w:rsidR="00B84E09" w:rsidRPr="007C17A6">
        <w:rPr>
          <w:rFonts w:ascii="Times New Roman" w:hAnsi="Times New Roman" w:cs="Times New Roman"/>
          <w:sz w:val="24"/>
          <w:szCs w:val="24"/>
          <w:lang w:val="en-GB"/>
        </w:rPr>
        <w:t>results</w:t>
      </w:r>
      <w:r w:rsidRPr="007C17A6">
        <w:rPr>
          <w:rFonts w:ascii="Times New Roman" w:hAnsi="Times New Roman" w:cs="Times New Roman"/>
          <w:sz w:val="24"/>
          <w:szCs w:val="24"/>
          <w:lang w:val="en-GB"/>
        </w:rPr>
        <w:t xml:space="preserve"> about word meaning processing and </w:t>
      </w:r>
      <w:r w:rsidRPr="007C17A6">
        <w:rPr>
          <w:rFonts w:ascii="Times New Roman" w:hAnsi="Times New Roman" w:cs="Times New Roman"/>
          <w:noProof/>
          <w:sz w:val="24"/>
          <w:szCs w:val="24"/>
          <w:lang w:val="en-GB"/>
        </w:rPr>
        <w:t>make</w:t>
      </w:r>
      <w:r w:rsidRPr="007C17A6">
        <w:rPr>
          <w:rFonts w:ascii="Times New Roman" w:hAnsi="Times New Roman" w:cs="Times New Roman"/>
          <w:sz w:val="24"/>
          <w:szCs w:val="24"/>
          <w:lang w:val="en-GB"/>
        </w:rPr>
        <w:t xml:space="preserve"> critical predictions about the functional role of multimodal-association hubs, secondary </w:t>
      </w:r>
      <w:r w:rsidR="00AF0844" w:rsidRPr="007C17A6">
        <w:rPr>
          <w:rFonts w:ascii="Times New Roman" w:hAnsi="Times New Roman" w:cs="Times New Roman"/>
          <w:sz w:val="24"/>
          <w:szCs w:val="24"/>
          <w:lang w:val="en-GB"/>
        </w:rPr>
        <w:t xml:space="preserve">and primary </w:t>
      </w:r>
      <w:r w:rsidRPr="007C17A6">
        <w:rPr>
          <w:rFonts w:ascii="Times New Roman" w:hAnsi="Times New Roman" w:cs="Times New Roman"/>
          <w:sz w:val="24"/>
          <w:szCs w:val="24"/>
          <w:lang w:val="en-GB"/>
        </w:rPr>
        <w:t xml:space="preserve">cortical regions </w:t>
      </w:r>
      <w:r w:rsidR="00AF0844" w:rsidRPr="007C17A6">
        <w:rPr>
          <w:rFonts w:ascii="Times New Roman" w:hAnsi="Times New Roman" w:cs="Times New Roman"/>
          <w:sz w:val="24"/>
          <w:szCs w:val="24"/>
          <w:lang w:val="en-GB"/>
        </w:rPr>
        <w:t xml:space="preserve">in </w:t>
      </w:r>
      <w:r w:rsidRPr="007C17A6">
        <w:rPr>
          <w:rFonts w:ascii="Times New Roman" w:hAnsi="Times New Roman" w:cs="Times New Roman"/>
          <w:sz w:val="24"/>
          <w:szCs w:val="24"/>
          <w:lang w:val="en-GB"/>
        </w:rPr>
        <w:t xml:space="preserve">language and semantic processing. Below, </w:t>
      </w:r>
      <w:r w:rsidRPr="007C17A6">
        <w:rPr>
          <w:rFonts w:ascii="Times New Roman" w:hAnsi="Times New Roman" w:cs="Times New Roman"/>
          <w:color w:val="000000" w:themeColor="text1"/>
          <w:sz w:val="24"/>
          <w:szCs w:val="24"/>
          <w:lang w:val="en-GB"/>
        </w:rPr>
        <w:t xml:space="preserve">we </w:t>
      </w:r>
      <w:r w:rsidR="00AF0844" w:rsidRPr="007C17A6">
        <w:rPr>
          <w:rFonts w:ascii="Times New Roman" w:hAnsi="Times New Roman" w:cs="Times New Roman"/>
          <w:color w:val="000000" w:themeColor="text1"/>
          <w:sz w:val="24"/>
          <w:szCs w:val="24"/>
          <w:lang w:val="en-GB"/>
        </w:rPr>
        <w:t xml:space="preserve">provide a detailed </w:t>
      </w:r>
      <w:r w:rsidRPr="007C17A6">
        <w:rPr>
          <w:rFonts w:ascii="Times New Roman" w:hAnsi="Times New Roman" w:cs="Times New Roman"/>
          <w:color w:val="000000" w:themeColor="text1"/>
          <w:sz w:val="24"/>
          <w:szCs w:val="24"/>
          <w:lang w:val="en-GB"/>
        </w:rPr>
        <w:t>discuss</w:t>
      </w:r>
      <w:r w:rsidR="00AF0844" w:rsidRPr="007C17A6">
        <w:rPr>
          <w:rFonts w:ascii="Times New Roman" w:hAnsi="Times New Roman" w:cs="Times New Roman"/>
          <w:color w:val="000000" w:themeColor="text1"/>
          <w:sz w:val="24"/>
          <w:szCs w:val="24"/>
          <w:lang w:val="en-GB"/>
        </w:rPr>
        <w:t xml:space="preserve">ion of </w:t>
      </w:r>
      <w:r w:rsidRPr="007C17A6">
        <w:rPr>
          <w:rFonts w:ascii="Times New Roman" w:hAnsi="Times New Roman" w:cs="Times New Roman"/>
          <w:color w:val="000000" w:themeColor="text1"/>
          <w:sz w:val="24"/>
          <w:szCs w:val="24"/>
          <w:lang w:val="en-GB"/>
        </w:rPr>
        <w:t xml:space="preserve">the models </w:t>
      </w:r>
      <w:r w:rsidR="00AF0844" w:rsidRPr="007C17A6">
        <w:rPr>
          <w:rFonts w:ascii="Times New Roman" w:hAnsi="Times New Roman" w:cs="Times New Roman"/>
          <w:color w:val="000000" w:themeColor="text1"/>
          <w:sz w:val="24"/>
          <w:szCs w:val="24"/>
          <w:lang w:val="en-GB"/>
        </w:rPr>
        <w:t xml:space="preserve">and their results in light of </w:t>
      </w:r>
      <w:r w:rsidRPr="007C17A6">
        <w:rPr>
          <w:rFonts w:ascii="Times New Roman" w:hAnsi="Times New Roman" w:cs="Times New Roman"/>
          <w:noProof/>
          <w:color w:val="000000" w:themeColor="text1"/>
          <w:sz w:val="24"/>
          <w:szCs w:val="24"/>
          <w:lang w:val="en-GB"/>
        </w:rPr>
        <w:t>previous</w:t>
      </w:r>
      <w:r w:rsidRPr="007C17A6">
        <w:rPr>
          <w:rFonts w:ascii="Times New Roman" w:hAnsi="Times New Roman" w:cs="Times New Roman"/>
          <w:color w:val="000000" w:themeColor="text1"/>
          <w:sz w:val="24"/>
          <w:szCs w:val="24"/>
          <w:lang w:val="en-GB"/>
        </w:rPr>
        <w:t xml:space="preserve"> empirical evidence</w:t>
      </w:r>
      <w:r w:rsidR="00AF0844" w:rsidRPr="007C17A6">
        <w:rPr>
          <w:rFonts w:ascii="Times New Roman" w:hAnsi="Times New Roman" w:cs="Times New Roman"/>
          <w:color w:val="000000" w:themeColor="text1"/>
          <w:sz w:val="24"/>
          <w:szCs w:val="24"/>
          <w:lang w:val="en-GB"/>
        </w:rPr>
        <w:t>, current semantic brain theories</w:t>
      </w:r>
      <w:r w:rsidR="00BE3A26" w:rsidRPr="007C17A6">
        <w:rPr>
          <w:rFonts w:ascii="Times New Roman" w:hAnsi="Times New Roman" w:cs="Times New Roman"/>
          <w:color w:val="000000" w:themeColor="text1"/>
          <w:sz w:val="24"/>
          <w:szCs w:val="24"/>
          <w:lang w:val="en-GB"/>
        </w:rPr>
        <w:t xml:space="preserve"> and its</w:t>
      </w:r>
      <w:r w:rsidR="00AF0844" w:rsidRPr="007C17A6">
        <w:rPr>
          <w:rFonts w:ascii="Times New Roman" w:hAnsi="Times New Roman" w:cs="Times New Roman"/>
          <w:color w:val="000000" w:themeColor="text1"/>
          <w:sz w:val="24"/>
          <w:szCs w:val="24"/>
          <w:lang w:val="en-GB"/>
        </w:rPr>
        <w:t xml:space="preserve"> novel critical predictions</w:t>
      </w:r>
      <w:r w:rsidRPr="007C17A6">
        <w:rPr>
          <w:rFonts w:ascii="Times New Roman" w:hAnsi="Times New Roman" w:cs="Times New Roman"/>
          <w:color w:val="000000" w:themeColor="text1"/>
          <w:sz w:val="24"/>
          <w:szCs w:val="24"/>
          <w:lang w:val="en-GB"/>
        </w:rPr>
        <w:t xml:space="preserve">. </w:t>
      </w:r>
    </w:p>
    <w:p w14:paraId="7025D184" w14:textId="77777777" w:rsidR="00A838DC" w:rsidRPr="007C17A6" w:rsidRDefault="00E5421A" w:rsidP="00E740D6">
      <w:pPr>
        <w:pStyle w:val="Heading2"/>
        <w:spacing w:line="240" w:lineRule="auto"/>
        <w:contextualSpacing/>
        <w:rPr>
          <w:rFonts w:ascii="Times New Roman" w:hAnsi="Times New Roman" w:cs="Times New Roman"/>
          <w:b/>
          <w:color w:val="auto"/>
          <w:sz w:val="24"/>
          <w:szCs w:val="24"/>
        </w:rPr>
      </w:pPr>
      <w:r w:rsidRPr="007C17A6">
        <w:rPr>
          <w:rFonts w:ascii="Times New Roman" w:hAnsi="Times New Roman" w:cs="Times New Roman"/>
          <w:b/>
          <w:color w:val="auto"/>
          <w:sz w:val="24"/>
          <w:szCs w:val="24"/>
        </w:rPr>
        <w:lastRenderedPageBreak/>
        <w:t>Semantic brain processes: data and models</w:t>
      </w:r>
    </w:p>
    <w:p w14:paraId="666C3250" w14:textId="3092C9DD" w:rsidR="00CE7022" w:rsidRPr="007C17A6" w:rsidRDefault="00E5421A" w:rsidP="0077421C">
      <w:pPr>
        <w:spacing w:before="120" w:after="120" w:line="240" w:lineRule="auto"/>
        <w:contextualSpacing/>
        <w:jc w:val="both"/>
        <w:rPr>
          <w:rFonts w:ascii="Times New Roman" w:hAnsi="Times New Roman" w:cs="Times New Roman"/>
          <w:b/>
          <w:i/>
          <w:color w:val="000000" w:themeColor="text1"/>
          <w:sz w:val="24"/>
          <w:szCs w:val="24"/>
        </w:rPr>
      </w:pPr>
      <w:r w:rsidRPr="007C17A6">
        <w:rPr>
          <w:rFonts w:ascii="Times New Roman" w:eastAsia="Times New Roman" w:hAnsi="Times New Roman" w:cs="Times New Roman"/>
          <w:color w:val="000000" w:themeColor="text1"/>
          <w:sz w:val="24"/>
          <w:szCs w:val="24"/>
          <w:lang w:val="en-GB" w:eastAsia="it-IT"/>
        </w:rPr>
        <w:t xml:space="preserve">Accumulating evidence </w:t>
      </w:r>
      <w:r w:rsidRPr="007C17A6">
        <w:rPr>
          <w:rFonts w:ascii="Times New Roman" w:hAnsi="Times New Roman" w:cs="Times New Roman"/>
          <w:color w:val="000000" w:themeColor="text1"/>
          <w:sz w:val="24"/>
          <w:szCs w:val="24"/>
          <w:lang w:val="en-GB"/>
        </w:rPr>
        <w:t xml:space="preserve">emphasises the relevance of several cortical regions for semantic processing including inferior-frontal, superior- and anterior-temporal multimodal areas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"10.1016/j.tics.2013.06.004", "ISBN" : "1364-6613", "ISSN" : "13646613", "PMID" : "23932069", "abstract" : "How brain structures and neuronal circuits mechanistically underpin symbolic meaning has recently been elucidated by neuroimaging, neuropsychological, and neurocomputational research. Modality-specific 'embodied' mechanisms anchored in sensorimotor systems appear to be relevant, as are 'disembodied' mechanisms in multimodal areas. In this paper, four semantic mechanisms are proposed and spelt out at the level of neuronal circuits: referential semantics, which establishes links between symbols and the objects and actions they are used to speak about; combinatorial semantics, which enables the learning of symbolic meaning from context; emotional-affective semantics, which establishes links between signs and internal states of the body; and abstraction mechanisms for generalizing over a range of instances of semantic meaning. Referential, combinatorial, emotional-affective, and abstract semantics are complementary mechanisms, each necessary for processing meaning in mind and brain. \u00a9 2013 Elsevier Ltd.", "author" : [ { "dropping-particle" : "", "family" : "Pulverm\u00fcller", "given" : "Friedemann", "non-dropping-particle" : "", "parse-names" : false, "suffix" : "" } ], "container-title" : "Trends in Cognitive Sciences", "id" : "ITEM-1", "issue" : "9", "issued" : { "date-parts" : [ [ "2013", "9" ] ] }, "page" : "458-470", "title" : "How neurons make meaning: Brain mechanisms for embodied and abstract-symbolic semantics", "type" : "article-journal", "volume" : "17" }, "uris" : [ "http://www.mendeley.com/documents/?uuid=8877ae30-8f96-4672-817d-cb94622f89cb" ] }, { "id" : "ITEM-2", "itemData" : { "DOI" : "10.1093/cercor/bhp055", "ISBN" : "1460-2199 (Electronic)\\r1460-2199 (Linking)", "ISSN" : "10473211", "PMID" : "19329570", "abstract" : "Semantic memory refers to knowledge about people, objects, actions, relations, self, and culture acquired through experience. The neural systems that store and retrieve this information have been studied for many years, but a consensus regarding their identity has not been reached. Using strict inclusion criteria, we analyzed 120 functional neuroimaging studies focusing on semantic processing. Reliable areas of activation in these studies were identified using the activation likelihood estimate (ALE) technique. These activations formed a distinct, left-lateralized network comprised of 7 regions: posterior inferior parietal lobe, middle temporal gyrus, fusiform and parahippocampal gyri, dorsomedial prefrontal cortex, inferior frontal gyrus, ventromedial prefrontal cortex, and posterior cingulate gyrus. Secondary analyses showed specific subregions of this network associated with knowledge of actions, manipulable artifacts, abstract concepts, and concrete concepts. The cortical regions involved in semantic processing can be grouped into 3 broad categories: posterior multimodal and heteromodal association cortex, heteromodal prefrontal cortex, and medial limbic regions. The expansion of these regions in the human relative to the nonhuman primate brain may explain uniquely human capacities to use language productively, plan, solve problems, and create cultural and technological artifacts, all of which depend on the fluid and efficient retrieval and manipulation of semantic knowledge.", "author" : [ { "dropping-particle" : "", "family" : "Binder", "given" : "Jeffrey R.", "non-dropping-particle" : "", "parse-names" : false, "suffix" : "" }, { "dropping-particle" : "", "family" : "Desai", "given" : "Rutvik H.", "non-dropping-particle" : "", "parse-names" : false, "suffix" : "" }, { "dropping-particle" : "", "family" : "Graves", "given" : "William W.", "non-dropping-particle" : "", "parse-names" : false, "suffix" : "" }, { "dropping-particle" : "", "family" : "Conant", "given" : "Lisa L.", "non-dropping-particle" : "", "parse-names" : false, "suffix" : "" } ], "container-title" : "Cerebral Cortex", "edition" : "2009/03/31", "id" : "ITEM-2", "issue" : "12", "issued" : { "date-parts" : [ [ "2009" ] ] }, "language" : "eng", "note" : "Binder, Jeffrey R\nDesai, Rutvik H\nGraves, William W\nConant, Lisa L\nF32 HD056767/HD/NICHD NIH HHS/\nR01 DC006287/DC/NIDCD NIH HHS/\nR01 NS33576/NS/NINDS NIH HHS/\nR01 NS35929/NS/NINDS NIH HHS/\nR03 DC008416/DC/NIDCD NIH HHS/\nT32 MH019992/MH/NIMH NIH HHS/\nNew York, N.Y. : 1991\nCereb Cortex. 2009 Dec;19(12):2767-96. doi: 10.1093/cercor/bhp055. Epub 2009 Mar 27.", "page" : "2767-2796", "title" : "Where is the semantic system? A critical review and meta-analysis of 120 functional neuroimaging studies", "type" : "article-journal", "volume" : "19" }, "uris" : [ "http://www.mendeley.com/documents/?uuid=eab197cd-bd1c-4782-a5a1-11da7afe8b15" ] }, { "id" : "ITEM-3", "itemData" : { "DOI" : "10.1038/nrn2277", "ISBN" : "1471-0048 (Electronic)\\n1471-003X (Linking)", "ISSN" : "1471-0048", "PMID" : "18026167", "abstract" : "Mr M, a patient with semantic dementia--a neurodegenerative disease that is characterized by the gradual deterioration of semantic memory--was being driven through the countryside to visit a friend and was able to remind his wife where to turn along the not-recently-travelled route. Then, pointing at the sheep in the field, he asked her \"What are those things?\" Prior to the onset of symptoms in his late 40s, this man had normal semantic memory. What has gone wrong in his brain to produce this dramatic and selective erosion of conceptual knowledge?", "author" : [ { "dropping-particle" : "", "family" : "Patterson", "given" : "Karalyn", "non-dropping-particle" : "", "parse-names" : false, "suffix" : "" }, { "dropping-particle" : "", "family" : "Nestor", "given" : "Peter J", "non-dropping-particle" : "", "parse-names" : false, "suffix" : "" }, { "dropping-particle" : "", "family" : "Rogers", "given" : "Timothy T", "non-dropping-particle" : "", "parse-names" : false, "suffix" : "" } ], "container-title" : "Nature reviews. Neuroscience", "id" : "ITEM-3", "issue" : "12", "issued" : { "date-parts" : [ [ "2007" ] ] }, "page" : "976-87", "title" : "Where do you know what you know? The representation of semantic knowledge in the human brain.", "type" : "article-journal", "volume" : "8" }, "uris" : [ "http://www.mendeley.com/documents/?uuid=e157aed2-0a91-41a6-ac4f-6835b10e583a" ] } ], "mendeley" : { "formattedCitation" : "(Binder et al., 2009; Patterson et al., 2007; Pulverm\u00fcller, 2013)", "plainTextFormattedCitation" : "(Binder et al., 2009; Patterson et al., 2007; Pulverm\u00fcller, 2013)", "previouslyFormattedCitation" : "(Binder et al., 2009; Patterson et al., 2007; Pulverm\u00fcller, 2013)" }, "properties" : {  }, "schema" : "https://github.com/citation-style-language/schema/raw/master/csl-citation.json" }</w:instrText>
      </w:r>
      <w:r w:rsidRPr="007C17A6">
        <w:rPr>
          <w:rFonts w:ascii="Times New Roman" w:hAnsi="Times New Roman" w:cs="Times New Roman"/>
        </w:rPr>
        <w:fldChar w:fldCharType="separate"/>
      </w:r>
      <w:bookmarkStart w:id="133" w:name="__Fieldmark__1778_1687356023"/>
      <w:bookmarkStart w:id="134" w:name="__Fieldmark__2053_582625014"/>
      <w:bookmarkStart w:id="135" w:name="__Fieldmark__2035_531023477"/>
      <w:bookmarkStart w:id="136" w:name="__Fieldmark__1461_2073936654"/>
      <w:r w:rsidR="00C00A10" w:rsidRPr="007C17A6">
        <w:rPr>
          <w:rFonts w:ascii="Times New Roman" w:hAnsi="Times New Roman" w:cs="Times New Roman"/>
          <w:noProof/>
          <w:color w:val="000000" w:themeColor="text1"/>
          <w:sz w:val="24"/>
          <w:szCs w:val="24"/>
          <w:lang w:val="en-GB"/>
        </w:rPr>
        <w:t>(Binder et al., 2009; Patterson et al., 2007; Pulvermüller, 2013)</w:t>
      </w:r>
      <w:r w:rsidRPr="007C17A6">
        <w:rPr>
          <w:rFonts w:ascii="Times New Roman" w:hAnsi="Times New Roman" w:cs="Times New Roman"/>
        </w:rPr>
        <w:fldChar w:fldCharType="end"/>
      </w:r>
      <w:bookmarkEnd w:id="133"/>
      <w:bookmarkEnd w:id="134"/>
      <w:bookmarkEnd w:id="135"/>
      <w:bookmarkEnd w:id="136"/>
      <w:r w:rsidRPr="007C17A6">
        <w:rPr>
          <w:rFonts w:ascii="Times New Roman" w:hAnsi="Times New Roman" w:cs="Times New Roman"/>
          <w:color w:val="000000" w:themeColor="text1"/>
          <w:sz w:val="24"/>
          <w:szCs w:val="24"/>
        </w:rPr>
        <w:t>, which seem to be relevant for all types of semantic processing,</w:t>
      </w:r>
      <w:r w:rsidRPr="007C17A6">
        <w:rPr>
          <w:rFonts w:ascii="Times New Roman" w:eastAsia="Times New Roman" w:hAnsi="Times New Roman" w:cs="Times New Roman"/>
          <w:color w:val="000000" w:themeColor="text1"/>
          <w:sz w:val="24"/>
          <w:szCs w:val="24"/>
          <w:lang w:val="en-GB" w:eastAsia="it-IT"/>
        </w:rPr>
        <w:t xml:space="preserve"> </w:t>
      </w:r>
      <w:r w:rsidRPr="007C17A6">
        <w:rPr>
          <w:rFonts w:ascii="Times New Roman" w:hAnsi="Times New Roman" w:cs="Times New Roman"/>
          <w:color w:val="000000" w:themeColor="text1"/>
          <w:sz w:val="24"/>
          <w:szCs w:val="24"/>
          <w:lang w:val="en-GB"/>
        </w:rPr>
        <w:t>and modality-</w:t>
      </w:r>
      <w:r w:rsidR="00CE7022" w:rsidRPr="007C17A6">
        <w:rPr>
          <w:rFonts w:ascii="Times New Roman" w:hAnsi="Times New Roman" w:cs="Times New Roman"/>
          <w:color w:val="000000" w:themeColor="text1"/>
          <w:sz w:val="24"/>
          <w:szCs w:val="24"/>
          <w:lang w:val="en-GB"/>
        </w:rPr>
        <w:t>preferential</w:t>
      </w:r>
      <w:r w:rsidRPr="007C17A6">
        <w:rPr>
          <w:rFonts w:ascii="Times New Roman" w:hAnsi="Times New Roman" w:cs="Times New Roman"/>
          <w:color w:val="000000" w:themeColor="text1"/>
          <w:sz w:val="24"/>
          <w:szCs w:val="24"/>
          <w:lang w:val="en-GB"/>
        </w:rPr>
        <w:t xml:space="preserve"> areas, which seemingly take a category-specific role in semantics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"10.1016/j.tics.2013.06.004", "ISBN" : "1364-6613", "ISSN" : "13646613", "PMID" : "23932069", "abstract" : "How brain structures and neuronal circuits mechanistically underpin symbolic meaning has recently been elucidated by neuroimaging, neuropsychological, and neurocomputational research. Modality-specific 'embodied' mechanisms anchored in sensorimotor systems appear to be relevant, as are 'disembodied' mechanisms in multimodal areas. In this paper, four semantic mechanisms are proposed and spelt out at the level of neuronal circuits: referential semantics, which establishes links between symbols and the objects and actions they are used to speak about; combinatorial semantics, which enables the learning of symbolic meaning from context; emotional-affective semantics, which establishes links between signs and internal states of the body; and abstraction mechanisms for generalizing over a range of instances of semantic meaning. Referential, combinatorial, emotional-affective, and abstract semantics are complementary mechanisms, each necessary for processing meaning in mind and brain. \u00a9 2013 Elsevier Ltd.", "author" : [ { "dropping-particle" : "", "family" : "Pulverm\u00fcller", "given" : "Friedemann", "non-dropping-particle" : "", "parse-names" : false, "suffix" : "" } ], "container-title" : "Trends in Cognitive Sciences", "id" : "ITEM-1", "issue" : "9", "issued" : { "date-parts" : [ [ "2013", "9" ] ] }, "page" : "458-470", "title" : "How neurons make meaning: Brain mechanisms for embodied and abstract-symbolic semantics", "type" : "article-journal", "volume" : "17" }, "uris" : [ "http://www.mendeley.com/documents/?uuid=8877ae30-8f96-4672-817d-cb94622f89cb" ] }, { "id" : "ITEM-2", "itemData" : { "DOI" : "10.1016/j.tics.2011.10.001", "ISBN" : "2122633255", "ISSN" : "13646613", "PMID" : "22001867", "abstract" : "Semantic memory includes all acquired knowledge about the world and is the basis for nearly all human activity, yet its neurobiological foundation is only now becoming clear. Recent neuroimaging studies demonstrate two striking results: the participation of modality-specific sensory, motor, and emotion systems in language comprehension, and the existence of large brain regions that participate in comprehension tasks but are not modality-specific. These latter regions, which include the inferior parietal lobe and much of the temporal lobe, lie at convergences of multiple perceptual processing streams. These convergences enable increasingly abstract, supramodal representations of perceptual experience that support a variety of conceptual functions including object recognition, social cognition, language, and the remarkable human capacity to remember the past and imagine the future. ?? 2011 Elsevier Ltd.", "author" : [ { "dropping-particle" : "", "family" : "Binder", "given" : "Jeffrey R.", "non-dropping-particle" : "", "parse-names" : false, "suffix" : "" }, { "dropping-particle" : "", "family" : "Desai", "given" : "Rutvik H.", "non-dropping-particle" : "", "parse-names" : false, "suffix" : "" } ], "container-title" : "Trends in Cognitive Sciences", "id" : "ITEM-2", "issue" : "11", "issued" : { "date-parts" : [ [ "2011" ] ] }, "page" : "527-536", "title" : "The neurobiology of semantic memory", "type" : "article-journal", "volume" : "15" }, "uris" : [ "http://www.mendeley.com/documents/?uuid=43318fa4-cf1d-4698-91cf-e5c16b77ff8e" ] }, { "id" : "ITEM-3", "itemData" : { "DOI" : "10.1146/annurev.psych.59.103006.093639", "ISBN" : "0-7695-2786-8", "ISSN" : "0066-4308", "PMID" : "17705682", "abstract" : "Grounded cognition rejects traditional views that cognition is computation on amodal symbols in a modular system, independent of the brain's modal systems for perception, action, and introspection. Instead, grounded cognition proposes that modal simulations, bodily states, and situated action underlie cognition. Accumulating behavioral and neural evidence supporting this view is reviewed from research on perception, memory, knowledge, language, thought, social cognition, and development. Theories of grounded cognition are also reviewed, as are origins of the area and common misperceptions of it. Theoretical, empirical, and methodological issues are raised whose future treatment is likely to affect the growth and impact of grounded cognition.", "author" : [ { "dropping-particle" : "", "family" : "Barsalou", "given" : "Lawrence W", "non-dropping-particle" : "", "parse-names" : false, "suffix" : "" } ], "container-title" : "Annual review of psychology", "id" : "ITEM-3", "issued" : { "date-parts" : [ [ "2008" ] ] }, "page" : "617-645", "title" : "Grounded cognition.", "type" : "article-journal", "volume" : "59" }, "uris" : [ "http://www.mendeley.com/documents/?uuid=e5ef57d7-f413-4a26-975f-80de565a2773" ] } ], "mendeley" : { "formattedCitation" : "(Barsalou, 2008; Binder and Desai, 2011; Pulverm\u00fcller, 2013)", "plainTextFormattedCitation" : "(Barsalou, 2008; Binder and Desai, 2011; Pulverm\u00fcller, 2013)", "previouslyFormattedCitation" : "(Barsalou, 2008; Binder and Desai, 2011; Pulverm\u00fcller, 2013)" }, "properties" : {  }, "schema" : "https://github.com/citation-style-language/schema/raw/master/csl-citation.json" }</w:instrText>
      </w:r>
      <w:r w:rsidRPr="007C17A6">
        <w:rPr>
          <w:rFonts w:ascii="Times New Roman" w:hAnsi="Times New Roman" w:cs="Times New Roman"/>
        </w:rPr>
        <w:fldChar w:fldCharType="separate"/>
      </w:r>
      <w:bookmarkStart w:id="137" w:name="__Fieldmark__1791_1687356023"/>
      <w:bookmarkStart w:id="138" w:name="__Fieldmark__2044_531023477"/>
      <w:bookmarkStart w:id="139" w:name="__Fieldmark__1474_2073936654"/>
      <w:r w:rsidR="00C00A10" w:rsidRPr="007C17A6">
        <w:rPr>
          <w:rFonts w:ascii="Times New Roman" w:hAnsi="Times New Roman" w:cs="Times New Roman"/>
          <w:noProof/>
          <w:color w:val="000000" w:themeColor="text1"/>
          <w:sz w:val="24"/>
          <w:szCs w:val="24"/>
          <w:lang w:val="en-GB"/>
        </w:rPr>
        <w:t>(Barsalou, 2008; Binder and Desai, 2011; Pulvermüller, 2013)</w:t>
      </w:r>
      <w:r w:rsidRPr="007C17A6">
        <w:rPr>
          <w:rFonts w:ascii="Times New Roman" w:hAnsi="Times New Roman" w:cs="Times New Roman"/>
        </w:rPr>
        <w:fldChar w:fldCharType="end"/>
      </w:r>
      <w:bookmarkEnd w:id="137"/>
      <w:bookmarkEnd w:id="138"/>
      <w:bookmarkEnd w:id="139"/>
      <w:r w:rsidRPr="007C17A6">
        <w:rPr>
          <w:rFonts w:ascii="Times New Roman" w:hAnsi="Times New Roman" w:cs="Times New Roman"/>
          <w:color w:val="000000" w:themeColor="text1"/>
          <w:sz w:val="24"/>
          <w:szCs w:val="24"/>
          <w:lang w:val="en-GB"/>
        </w:rPr>
        <w:t>.</w:t>
      </w:r>
      <w:r w:rsidR="00CE7022" w:rsidRPr="007C17A6">
        <w:rPr>
          <w:rFonts w:ascii="Times New Roman" w:hAnsi="Times New Roman" w:cs="Times New Roman"/>
          <w:color w:val="000000" w:themeColor="text1"/>
          <w:sz w:val="24"/>
          <w:szCs w:val="24"/>
          <w:lang w:val="en-GB"/>
        </w:rPr>
        <w:t xml:space="preserve"> Of great relevance in the current discussion about semantic grounding and ‘embodiment’ is the contribution of modality-preferential areas including primary and secondary cortices, for </w:t>
      </w:r>
      <w:r w:rsidR="00CE7022" w:rsidRPr="007C17A6">
        <w:rPr>
          <w:rFonts w:ascii="Times New Roman" w:hAnsi="Times New Roman" w:cs="Times New Roman"/>
          <w:noProof/>
          <w:color w:val="000000" w:themeColor="text1"/>
          <w:sz w:val="24"/>
          <w:szCs w:val="24"/>
          <w:lang w:val="en-GB"/>
        </w:rPr>
        <w:t>example</w:t>
      </w:r>
      <w:r w:rsidR="00C74FBB" w:rsidRPr="007C17A6">
        <w:rPr>
          <w:rFonts w:ascii="Times New Roman" w:hAnsi="Times New Roman" w:cs="Times New Roman"/>
          <w:noProof/>
          <w:color w:val="000000" w:themeColor="text1"/>
          <w:sz w:val="24"/>
          <w:szCs w:val="24"/>
          <w:lang w:val="en-GB"/>
        </w:rPr>
        <w:t>,</w:t>
      </w:r>
      <w:r w:rsidR="00CE7022" w:rsidRPr="007C17A6">
        <w:rPr>
          <w:rFonts w:ascii="Times New Roman" w:hAnsi="Times New Roman" w:cs="Times New Roman"/>
          <w:color w:val="000000" w:themeColor="text1"/>
          <w:sz w:val="24"/>
          <w:szCs w:val="24"/>
          <w:lang w:val="en-GB"/>
        </w:rPr>
        <w:t xml:space="preserve"> the motor and premotor cortex, or the primary and other ‘early’ visual areas in semantic processing. These areas, which had classically </w:t>
      </w:r>
      <w:r w:rsidR="00CE7022" w:rsidRPr="007C17A6">
        <w:rPr>
          <w:rFonts w:ascii="Times New Roman" w:hAnsi="Times New Roman" w:cs="Times New Roman"/>
          <w:noProof/>
          <w:color w:val="000000" w:themeColor="text1"/>
          <w:sz w:val="24"/>
          <w:szCs w:val="24"/>
          <w:lang w:val="en-GB"/>
        </w:rPr>
        <w:t>been seen</w:t>
      </w:r>
      <w:r w:rsidR="00CE7022" w:rsidRPr="007C17A6">
        <w:rPr>
          <w:rFonts w:ascii="Times New Roman" w:hAnsi="Times New Roman" w:cs="Times New Roman"/>
          <w:color w:val="000000" w:themeColor="text1"/>
          <w:sz w:val="24"/>
          <w:szCs w:val="24"/>
          <w:lang w:val="en-GB"/>
        </w:rPr>
        <w:t xml:space="preserve"> as ‘perceptual’ or ‘motor’ in their function, seem to partake in and contribute to semantic processing, as a range of previous studies showed. The</w:t>
      </w:r>
      <w:r w:rsidR="00172357" w:rsidRPr="007C17A6">
        <w:rPr>
          <w:rFonts w:ascii="Times New Roman" w:hAnsi="Times New Roman" w:cs="Times New Roman"/>
          <w:color w:val="000000" w:themeColor="text1"/>
          <w:sz w:val="24"/>
          <w:szCs w:val="24"/>
          <w:lang w:val="en-GB"/>
        </w:rPr>
        <w:t xml:space="preserve"> present</w:t>
      </w:r>
      <w:r w:rsidR="00CE7022" w:rsidRPr="007C17A6">
        <w:rPr>
          <w:rFonts w:ascii="Times New Roman" w:hAnsi="Times New Roman" w:cs="Times New Roman"/>
          <w:color w:val="000000" w:themeColor="text1"/>
          <w:sz w:val="24"/>
          <w:szCs w:val="24"/>
          <w:lang w:val="en-GB"/>
        </w:rPr>
        <w:t xml:space="preserve"> results fit the postulate of semantic grounding</w:t>
      </w:r>
      <w:r w:rsidR="00A81FE9" w:rsidRPr="007C17A6">
        <w:rPr>
          <w:rFonts w:ascii="Times New Roman" w:hAnsi="Times New Roman" w:cs="Times New Roman"/>
          <w:color w:val="000000" w:themeColor="text1"/>
          <w:sz w:val="24"/>
          <w:szCs w:val="24"/>
          <w:lang w:val="en-GB"/>
        </w:rPr>
        <w:t xml:space="preserve"> </w:t>
      </w:r>
      <w:r w:rsidR="00A81FE9" w:rsidRPr="007C17A6">
        <w:rPr>
          <w:rFonts w:ascii="Times New Roman" w:hAnsi="Times New Roman" w:cs="Times New Roman"/>
          <w:color w:val="000000" w:themeColor="text1"/>
          <w:sz w:val="24"/>
          <w:szCs w:val="24"/>
          <w:lang w:val="en-GB"/>
        </w:rPr>
        <w:fldChar w:fldCharType="begin" w:fldLock="1"/>
      </w:r>
      <w:r w:rsidR="007F4106" w:rsidRPr="007C17A6">
        <w:rPr>
          <w:rFonts w:ascii="Times New Roman" w:hAnsi="Times New Roman" w:cs="Times New Roman"/>
          <w:color w:val="000000" w:themeColor="text1"/>
          <w:sz w:val="24"/>
          <w:szCs w:val="24"/>
          <w:lang w:val="en-GB"/>
        </w:rPr>
        <w:instrText>ADDIN CSL_CITATION { "citationItems" : [ { "id" : "ITEM-1", "itemData" : { "ISSN" : "0167-2789", "abstract" : "There has been much discussion recently about the scope and limits of purely symbolic models of the mind and about the proper role of connectionism in cognitive modeling. This paper describes the \"symbol grounding problem\": How can the semantic interpretation of a formal symbol system be made intrinsic to the system, rather than just parasitic on the meanings in our heads? How can the meanings of the meaningless symbol tokens, manipulated solely on the basis of their (arbitrary) shapes, be grounded in anything but other meaningless symbols? The problem is analogous to trying to learn Chinese from a Chinese/Chinese dictionary alone. A candidate solution is sketched: Symbolic representations must be grounded bottom-up in nonsymbolic representations of two kinds: (1) \"iconic representations\" , which are analogs of the proximal sensory projections of distal objects and events, and (2) \"categorical representations\" , which are learned and innate feature-detectors that pick out the invariant features of object and event categories from their sensory projections. Elementary symbols are the names of these object and event categories, assigned on the basis of their (nonsymbolic) categorical representations. Higher-order (3) \"symbolic representations\" , grounded in these elementary symbols, consist of symbol strings describing category membership relations (e.g., \"An X is a Y that is Z\"). Connectionism is one natural candidate for the mechanism that learns the invariant features underlying categorical representations, thereby connecting names", "author" : [ { "dropping-particle" : "", "family" : "Harnad", "given" : "Stevan", "non-dropping-particle" : "", "parse-names" : false, "suffix" : "" } ], "container-title" : "Physica D", "id" : "ITEM-1", "issue" : "1", "issued" : { "date-parts" : [ [ "1990" ] ] }, "page" : "335-346", "publisher" : "Elsevier", "title" : "the Symbol Grounding Problem", "type" : "article-journal", "volume" : "42" }, "uris" : [ "http://www.mendeley.com/documents/?uuid=21e0ecdd-c38c-48ab-bd0e-ae1e6ad9a3b9" ] } ], "mendeley" : { "formattedCitation" : "(Harnad, 1990)", "plainTextFormattedCitation" : "(Harnad, 1990)", "previouslyFormattedCitation" : "(Harnad, 1990)" }, "properties" : {  }, "schema" : "https://github.com/citation-style-language/schema/raw/master/csl-citation.json" }</w:instrText>
      </w:r>
      <w:r w:rsidR="00A81FE9" w:rsidRPr="007C17A6">
        <w:rPr>
          <w:rFonts w:ascii="Times New Roman" w:hAnsi="Times New Roman" w:cs="Times New Roman"/>
          <w:color w:val="000000" w:themeColor="text1"/>
          <w:sz w:val="24"/>
          <w:szCs w:val="24"/>
          <w:lang w:val="en-GB"/>
        </w:rPr>
        <w:fldChar w:fldCharType="separate"/>
      </w:r>
      <w:r w:rsidR="00A81FE9" w:rsidRPr="007C17A6">
        <w:rPr>
          <w:rFonts w:ascii="Times New Roman" w:hAnsi="Times New Roman" w:cs="Times New Roman"/>
          <w:noProof/>
          <w:color w:val="000000" w:themeColor="text1"/>
          <w:sz w:val="24"/>
          <w:szCs w:val="24"/>
          <w:lang w:val="en-GB"/>
        </w:rPr>
        <w:t>(Harnad, 1990)</w:t>
      </w:r>
      <w:r w:rsidR="00A81FE9" w:rsidRPr="007C17A6">
        <w:rPr>
          <w:rFonts w:ascii="Times New Roman" w:hAnsi="Times New Roman" w:cs="Times New Roman"/>
          <w:color w:val="000000" w:themeColor="text1"/>
          <w:sz w:val="24"/>
          <w:szCs w:val="24"/>
          <w:lang w:val="en-GB"/>
        </w:rPr>
        <w:fldChar w:fldCharType="end"/>
      </w:r>
      <w:r w:rsidR="00A81FE9" w:rsidRPr="007C17A6">
        <w:rPr>
          <w:rFonts w:ascii="Times New Roman" w:hAnsi="Times New Roman" w:cs="Times New Roman"/>
          <w:color w:val="000000" w:themeColor="text1"/>
          <w:sz w:val="24"/>
          <w:szCs w:val="24"/>
          <w:lang w:val="en-GB"/>
        </w:rPr>
        <w:t xml:space="preserve"> </w:t>
      </w:r>
      <w:r w:rsidR="00CE7022" w:rsidRPr="007C17A6">
        <w:rPr>
          <w:rFonts w:ascii="Times New Roman" w:hAnsi="Times New Roman" w:cs="Times New Roman"/>
          <w:color w:val="000000" w:themeColor="text1"/>
          <w:sz w:val="24"/>
          <w:szCs w:val="24"/>
          <w:lang w:val="en-GB"/>
        </w:rPr>
        <w:t xml:space="preserve">that, in order to know the meaning of a symbol, it is necessary to relate it to </w:t>
      </w:r>
      <w:r w:rsidR="00CE7022" w:rsidRPr="007C17A6">
        <w:rPr>
          <w:rFonts w:ascii="Times New Roman" w:hAnsi="Times New Roman" w:cs="Times New Roman"/>
          <w:noProof/>
          <w:color w:val="000000" w:themeColor="text1"/>
          <w:sz w:val="24"/>
          <w:szCs w:val="24"/>
          <w:lang w:val="en-GB"/>
        </w:rPr>
        <w:t>real world</w:t>
      </w:r>
      <w:r w:rsidR="00CE7022" w:rsidRPr="007C17A6">
        <w:rPr>
          <w:rFonts w:ascii="Times New Roman" w:hAnsi="Times New Roman" w:cs="Times New Roman"/>
          <w:color w:val="000000" w:themeColor="text1"/>
          <w:sz w:val="24"/>
          <w:szCs w:val="24"/>
          <w:lang w:val="en-GB"/>
        </w:rPr>
        <w:t xml:space="preserve"> entities, for </w:t>
      </w:r>
      <w:r w:rsidR="00CE7022" w:rsidRPr="007C17A6">
        <w:rPr>
          <w:rFonts w:ascii="Times New Roman" w:hAnsi="Times New Roman" w:cs="Times New Roman"/>
          <w:noProof/>
          <w:color w:val="000000" w:themeColor="text1"/>
          <w:sz w:val="24"/>
          <w:szCs w:val="24"/>
          <w:lang w:val="en-GB"/>
        </w:rPr>
        <w:t>example</w:t>
      </w:r>
      <w:r w:rsidR="00C74FBB" w:rsidRPr="007C17A6">
        <w:rPr>
          <w:rFonts w:ascii="Times New Roman" w:hAnsi="Times New Roman" w:cs="Times New Roman"/>
          <w:noProof/>
          <w:color w:val="000000" w:themeColor="text1"/>
          <w:sz w:val="24"/>
          <w:szCs w:val="24"/>
          <w:lang w:val="en-GB"/>
        </w:rPr>
        <w:t>,</w:t>
      </w:r>
      <w:r w:rsidR="00CE7022" w:rsidRPr="007C17A6">
        <w:rPr>
          <w:rFonts w:ascii="Times New Roman" w:hAnsi="Times New Roman" w:cs="Times New Roman"/>
          <w:color w:val="000000" w:themeColor="text1"/>
          <w:sz w:val="24"/>
          <w:szCs w:val="24"/>
          <w:lang w:val="en-GB"/>
        </w:rPr>
        <w:t xml:space="preserve"> the word “grasp” to grasping actions and the word “house” to the typical visual shape of houses. Grounding in this sense needs to </w:t>
      </w:r>
      <w:r w:rsidR="00CE7022" w:rsidRPr="007C17A6">
        <w:rPr>
          <w:rFonts w:ascii="Times New Roman" w:hAnsi="Times New Roman" w:cs="Times New Roman"/>
          <w:noProof/>
          <w:color w:val="000000" w:themeColor="text1"/>
          <w:sz w:val="24"/>
          <w:szCs w:val="24"/>
          <w:lang w:val="en-GB"/>
        </w:rPr>
        <w:t>be implemented</w:t>
      </w:r>
      <w:r w:rsidR="00CE7022" w:rsidRPr="007C17A6">
        <w:rPr>
          <w:rFonts w:ascii="Times New Roman" w:hAnsi="Times New Roman" w:cs="Times New Roman"/>
          <w:color w:val="000000" w:themeColor="text1"/>
          <w:sz w:val="24"/>
          <w:szCs w:val="24"/>
          <w:lang w:val="en-GB"/>
        </w:rPr>
        <w:t xml:space="preserve"> in semantic representations that reach into </w:t>
      </w:r>
      <w:r w:rsidR="00CE7022" w:rsidRPr="007C17A6">
        <w:rPr>
          <w:rFonts w:ascii="Times New Roman" w:hAnsi="Times New Roman" w:cs="Times New Roman"/>
          <w:noProof/>
          <w:color w:val="000000" w:themeColor="text1"/>
          <w:sz w:val="24"/>
          <w:szCs w:val="24"/>
          <w:lang w:val="en-GB"/>
        </w:rPr>
        <w:t>motor</w:t>
      </w:r>
      <w:r w:rsidR="00CE7022" w:rsidRPr="007C17A6">
        <w:rPr>
          <w:rFonts w:ascii="Times New Roman" w:hAnsi="Times New Roman" w:cs="Times New Roman"/>
          <w:color w:val="000000" w:themeColor="text1"/>
          <w:sz w:val="24"/>
          <w:szCs w:val="24"/>
          <w:lang w:val="en-GB"/>
        </w:rPr>
        <w:t xml:space="preserve"> and sensory systems. Our simulations applying brain constrained modelling at different levels demonstrate grounding in this very sense</w:t>
      </w:r>
      <w:r w:rsidR="00172357" w:rsidRPr="007C17A6">
        <w:rPr>
          <w:rFonts w:ascii="Times New Roman" w:hAnsi="Times New Roman" w:cs="Times New Roman"/>
          <w:color w:val="000000" w:themeColor="text1"/>
          <w:sz w:val="24"/>
          <w:szCs w:val="24"/>
          <w:lang w:val="en-GB"/>
        </w:rPr>
        <w:t xml:space="preserve">, hence fitting (and explaining) the </w:t>
      </w:r>
      <w:r w:rsidR="004D4356" w:rsidRPr="007C17A6">
        <w:rPr>
          <w:rFonts w:ascii="Times New Roman" w:hAnsi="Times New Roman" w:cs="Times New Roman"/>
          <w:color w:val="000000" w:themeColor="text1"/>
          <w:sz w:val="24"/>
          <w:szCs w:val="24"/>
          <w:lang w:val="en-GB"/>
        </w:rPr>
        <w:t>experimental results</w:t>
      </w:r>
      <w:r w:rsidR="00172357" w:rsidRPr="007C17A6">
        <w:rPr>
          <w:rFonts w:ascii="Times New Roman" w:hAnsi="Times New Roman" w:cs="Times New Roman"/>
          <w:color w:val="000000" w:themeColor="text1"/>
          <w:sz w:val="24"/>
          <w:szCs w:val="24"/>
          <w:lang w:val="en-GB"/>
        </w:rPr>
        <w:t xml:space="preserve"> mentioned above</w:t>
      </w:r>
      <w:r w:rsidR="00CE7022" w:rsidRPr="007C17A6">
        <w:rPr>
          <w:rFonts w:ascii="Times New Roman" w:hAnsi="Times New Roman" w:cs="Times New Roman"/>
          <w:color w:val="000000" w:themeColor="text1"/>
          <w:sz w:val="24"/>
          <w:szCs w:val="24"/>
          <w:lang w:val="en-GB"/>
        </w:rPr>
        <w:t xml:space="preserve">. </w:t>
      </w:r>
      <w:r w:rsidRPr="007C17A6">
        <w:rPr>
          <w:rFonts w:ascii="Times New Roman" w:hAnsi="Times New Roman" w:cs="Times New Roman"/>
          <w:b/>
          <w:i/>
          <w:color w:val="000000" w:themeColor="text1"/>
          <w:sz w:val="24"/>
          <w:szCs w:val="24"/>
        </w:rPr>
        <w:t xml:space="preserve"> </w:t>
      </w:r>
    </w:p>
    <w:p w14:paraId="56B057FC" w14:textId="77777777" w:rsidR="00CE7022" w:rsidRPr="007C17A6" w:rsidRDefault="00CE7022" w:rsidP="0077421C">
      <w:pPr>
        <w:spacing w:before="120" w:after="120" w:line="240" w:lineRule="auto"/>
        <w:contextualSpacing/>
        <w:jc w:val="both"/>
        <w:rPr>
          <w:rFonts w:ascii="Times New Roman" w:hAnsi="Times New Roman" w:cs="Times New Roman"/>
          <w:b/>
          <w:i/>
          <w:color w:val="000000" w:themeColor="text1"/>
          <w:sz w:val="24"/>
          <w:szCs w:val="24"/>
        </w:rPr>
      </w:pPr>
    </w:p>
    <w:p w14:paraId="095211E5" w14:textId="75C00870" w:rsidR="00B91E1C" w:rsidRPr="007C17A6" w:rsidRDefault="00E5421A" w:rsidP="0077421C">
      <w:pPr>
        <w:spacing w:before="120" w:after="120" w:line="240" w:lineRule="auto"/>
        <w:contextualSpacing/>
        <w:jc w:val="both"/>
        <w:rPr>
          <w:rFonts w:ascii="Times New Roman" w:hAnsi="Times New Roman" w:cs="Times New Roman"/>
          <w:sz w:val="24"/>
          <w:szCs w:val="24"/>
          <w:lang w:val="en-GB"/>
        </w:rPr>
      </w:pPr>
      <w:r w:rsidRPr="007C17A6">
        <w:rPr>
          <w:rFonts w:ascii="Times New Roman" w:hAnsi="Times New Roman" w:cs="Times New Roman"/>
          <w:color w:val="000000" w:themeColor="text1"/>
          <w:sz w:val="24"/>
          <w:szCs w:val="24"/>
          <w:lang w:val="en-GB"/>
        </w:rPr>
        <w:t xml:space="preserve">Some attempts to integrate both </w:t>
      </w:r>
      <w:r w:rsidR="00D54BE4" w:rsidRPr="007C17A6">
        <w:rPr>
          <w:rFonts w:ascii="Times New Roman" w:hAnsi="Times New Roman" w:cs="Times New Roman"/>
          <w:color w:val="000000" w:themeColor="text1"/>
          <w:sz w:val="24"/>
          <w:szCs w:val="24"/>
          <w:lang w:val="en-GB"/>
        </w:rPr>
        <w:t>pieces</w:t>
      </w:r>
      <w:r w:rsidRPr="007C17A6">
        <w:rPr>
          <w:rFonts w:ascii="Times New Roman" w:hAnsi="Times New Roman" w:cs="Times New Roman"/>
          <w:color w:val="000000" w:themeColor="text1"/>
          <w:sz w:val="24"/>
          <w:szCs w:val="24"/>
          <w:lang w:val="en-GB"/>
        </w:rPr>
        <w:t xml:space="preserve"> </w:t>
      </w:r>
      <w:r w:rsidR="00D54BE4" w:rsidRPr="007C17A6">
        <w:rPr>
          <w:rFonts w:ascii="Times New Roman" w:hAnsi="Times New Roman" w:cs="Times New Roman"/>
          <w:color w:val="000000" w:themeColor="text1"/>
          <w:sz w:val="24"/>
          <w:szCs w:val="24"/>
          <w:lang w:val="en-GB"/>
        </w:rPr>
        <w:t xml:space="preserve">of </w:t>
      </w:r>
      <w:r w:rsidRPr="007C17A6">
        <w:rPr>
          <w:rFonts w:ascii="Times New Roman" w:hAnsi="Times New Roman" w:cs="Times New Roman"/>
          <w:color w:val="000000" w:themeColor="text1"/>
          <w:sz w:val="24"/>
          <w:szCs w:val="24"/>
          <w:lang w:val="en-GB"/>
        </w:rPr>
        <w:t xml:space="preserve">evidence into one theoretical framework have </w:t>
      </w:r>
      <w:r w:rsidRPr="007C17A6">
        <w:rPr>
          <w:rFonts w:ascii="Times New Roman" w:hAnsi="Times New Roman" w:cs="Times New Roman"/>
          <w:noProof/>
          <w:color w:val="000000" w:themeColor="text1"/>
          <w:sz w:val="24"/>
          <w:szCs w:val="24"/>
          <w:lang w:val="en-GB"/>
        </w:rPr>
        <w:t>been proposed</w:t>
      </w:r>
      <w:r w:rsidRPr="007C17A6">
        <w:rPr>
          <w:rFonts w:ascii="Times New Roman" w:hAnsi="Times New Roman" w:cs="Times New Roman"/>
          <w:color w:val="000000" w:themeColor="text1"/>
          <w:sz w:val="24"/>
          <w:szCs w:val="24"/>
          <w:lang w:val="en-GB"/>
        </w:rPr>
        <w:t xml:space="preserve">. The ‘hub-and-spoke’ model postulates one single semantic hub in anterior-inferior-temporal lobe with category-specific spokes mainly in posterior brain areas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"ISSN" : "1471-003X", "abstract" : "Semantic cognition refers to our ability to use, manipulate and generalize knowledge that is acquired over the lifespan to support innumerable verbal and non-verbal behaviours. This Review summarizes key findings and issues arising from a decade of research into the neurocognitive and neurocomputational underpinnings of this ability, leading to a new framework that we term controlled semantic cognition (CSC). CSC offers solutions to long-standing queries in philosophy and cognitive science, and yields a convergent framework for understanding the neural and computational bases of healthy semantic cognition and its dysfunction in brain disorders.", "author" : [ { "dropping-particle" : "", "family" : "Ralph", "given" : "Matthew A Lambon", "non-dropping-particle" : "", "parse-names" : false, "suffix" : "" }, { "dropping-particle" : "", "family" : "Jefferies", "given" : "Elizabeth", "non-dropping-particle" : "", "parse-names" : false, "suffix" : "" }, { "dropping-particle" : "", "family" : "Patterson", "given" : "Karalyn", "non-dropping-particle" : "", "parse-names" : false, "suffix" : "" }, { "dropping-particle" : "", "family" : "Rogers", "given" : "Timothy T", "non-dropping-particle" : "", "parse-names" : false, "suffix" : "" } ], "container-title" : "Nat Rev Neurosci", "id" : "ITEM-1", "issue" : "1", "issued" : { "date-parts" : [ [ "2017", "1" ] ] }, "page" : "42-55", "publisher" : "Nature Publishing Group, a division of Macmillan Publishers Limited. All Rights Reserved.", "title" : "The neural and computational bases of semantic cognition", "type" : "article-journal", "volume" : "18" }, "uris" : [ "http://www.mendeley.com/documents/?uuid=94be90ab-f225-4636-822d-b6228f620275", "http://www.mendeley.com/documents/?uuid=0c55a295-5087-40da-ac9e-53e368d920df", "http://www.mendeley.com/documents/?uuid=4c2738c3-3718-4805-aff6-165378bb11de" ] } ], "mendeley" : { "formattedCitation" : "(Ralph et al., 2017)", "plainTextFormattedCitation" : "(Ralph et al., 2017)", "previouslyFormattedCitation" : "(Ralph et al., 2017)" }, "properties" : {  }, "schema" : "https://github.com/citation-style-language/schema/raw/master/csl-citation.json" }</w:instrText>
      </w:r>
      <w:r w:rsidRPr="007C17A6">
        <w:rPr>
          <w:rFonts w:ascii="Times New Roman" w:hAnsi="Times New Roman" w:cs="Times New Roman"/>
        </w:rPr>
        <w:fldChar w:fldCharType="separate"/>
      </w:r>
      <w:bookmarkStart w:id="140" w:name="__Fieldmark__1802_1687356023"/>
      <w:bookmarkStart w:id="141" w:name="__Fieldmark__2073_582625014"/>
      <w:bookmarkStart w:id="142" w:name="__Fieldmark__2053_531023477"/>
      <w:bookmarkStart w:id="143" w:name="__Fieldmark__1483_2073936654"/>
      <w:r w:rsidR="00C00A10" w:rsidRPr="007C17A6">
        <w:rPr>
          <w:rFonts w:ascii="Times New Roman" w:hAnsi="Times New Roman" w:cs="Times New Roman"/>
          <w:noProof/>
          <w:color w:val="000000" w:themeColor="text1"/>
          <w:sz w:val="24"/>
          <w:szCs w:val="24"/>
          <w:lang w:val="en-GB"/>
        </w:rPr>
        <w:t>(Ralph et al., 2017)</w:t>
      </w:r>
      <w:r w:rsidRPr="007C17A6">
        <w:rPr>
          <w:rFonts w:ascii="Times New Roman" w:hAnsi="Times New Roman" w:cs="Times New Roman"/>
        </w:rPr>
        <w:fldChar w:fldCharType="end"/>
      </w:r>
      <w:bookmarkEnd w:id="140"/>
      <w:bookmarkEnd w:id="141"/>
      <w:bookmarkEnd w:id="142"/>
      <w:bookmarkEnd w:id="143"/>
      <w:r w:rsidRPr="007C17A6">
        <w:rPr>
          <w:rFonts w:ascii="Times New Roman" w:hAnsi="Times New Roman" w:cs="Times New Roman"/>
          <w:color w:val="000000" w:themeColor="text1"/>
          <w:sz w:val="24"/>
          <w:szCs w:val="24"/>
          <w:lang w:val="en-GB"/>
        </w:rPr>
        <w:t xml:space="preserve">. This model explains crucial features of semantic dementia, but is inconsistent with hub-like properties of other multimodal areas (see introduction) and, in addition, does not address the motor system’s role in category-specific processing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"https://doi.org/10.1016/j.neuropsychologia.2017.01.025", "ISSN" : "0028-3932", "abstract" : "Abstract Among various questions pertinent to grounding human cognitive functions in a neurobiological substrate, the association between language and motor brain structures is a particularly debated one in neuroscience and psychology. While many studies support a broadly distributed model of language and semantics grounded, among other things, in the general modality-specific systems, theories disagree as to whether motor and sensory cortex activity observed during language processing is functional or epiphenomenal. Here, we assessed the role of motor areas in linguistic processing by investigating the responses of 28 healthy volunteers to different word types in semantic and lexical decision tasks, following repetitive transcranial magnetic stimulation (rTMS) of primary motor cortex. We found that early rTMS (delivered within 200 ms of word onset) produces a left-lateralised and meaning-specific change in reaction speed, slowing down behavioural responses to action-related words, and facilitating abstract words \u2013 an effect present only during semantic, but not lexical, decision. We interpret these data in light of action-perception theory of language, bolstering the claim that motor cortical areas play a functional role in language comprehension.", "author" : [ { "dropping-particle" : "", "family" : "Vukovic", "given" : "Nikola", "non-dropping-particle" : "", "parse-names" : false, "suffix" : "" }, { "dropping-particle" : "", "family" : "Feurra", "given" : "Matteo", "non-dropping-particle" : "", "parse-names" : false, "suffix" : "" }, { "dropping-particle" : "", "family" : "Shpektor", "given" : "Anna", "non-dropping-particle" : "", "parse-names" : false, "suffix" : "" }, { "dropping-particle" : "", "family" : "Myachykov", "given" : "Andriy", "non-dropping-particle" : "", "parse-names" : false, "suffix" : "" }, { "dropping-particle" : "", "family" : "Shtyrov", "given" : "Yury", "non-dropping-particle" : "", "parse-names" : false, "suffix" : "" } ], "container-title" : "Neuropsychologia", "id" : "ITEM-1", "issued" : { "date-parts" : [ [ "2017", "2" ] ] }, "page" : "222-229", "title" : "Primary motor cortex functionally contributes to language comprehension: An online rTMS study", "type" : "article-journal", "volume" : "96" }, "uris" : [ "http://www.mendeley.com/documents/?uuid=ee4a7a54-e81e-4be1-98ca-391e88a99366" ] } ], "mendeley" : { "formattedCitation" : "(Vukovic et al., 2017)", "plainTextFormattedCitation" : "(Vukovic et al., 2017)", "previouslyFormattedCitation" : "(Vukovic et al., 2017)" }, "properties" : {  }, "schema" : "https://github.com/citation-style-language/schema/raw/master/csl-citation.json" }</w:instrText>
      </w:r>
      <w:r w:rsidRPr="007C17A6">
        <w:rPr>
          <w:rFonts w:ascii="Times New Roman" w:hAnsi="Times New Roman" w:cs="Times New Roman"/>
        </w:rPr>
        <w:fldChar w:fldCharType="separate"/>
      </w:r>
      <w:bookmarkStart w:id="144" w:name="__Fieldmark__1815_1687356023"/>
      <w:bookmarkStart w:id="145" w:name="__Fieldmark__2062_531023477"/>
      <w:bookmarkStart w:id="146" w:name="__Fieldmark__1494_2073936654"/>
      <w:r w:rsidR="00C00A10" w:rsidRPr="007C17A6">
        <w:rPr>
          <w:rFonts w:ascii="Times New Roman" w:hAnsi="Times New Roman" w:cs="Times New Roman"/>
          <w:noProof/>
          <w:color w:val="000000" w:themeColor="text1"/>
          <w:sz w:val="24"/>
          <w:szCs w:val="24"/>
          <w:lang w:val="en-GB"/>
        </w:rPr>
        <w:t>(Vukovic et al., 2017)</w:t>
      </w:r>
      <w:r w:rsidRPr="007C17A6">
        <w:rPr>
          <w:rFonts w:ascii="Times New Roman" w:hAnsi="Times New Roman" w:cs="Times New Roman"/>
        </w:rPr>
        <w:fldChar w:fldCharType="end"/>
      </w:r>
      <w:bookmarkEnd w:id="144"/>
      <w:bookmarkEnd w:id="145"/>
      <w:bookmarkEnd w:id="146"/>
      <w:r w:rsidR="00D54BE4" w:rsidRPr="007C17A6">
        <w:rPr>
          <w:rFonts w:ascii="Times New Roman" w:hAnsi="Times New Roman" w:cs="Times New Roman"/>
          <w:color w:val="000000" w:themeColor="text1"/>
          <w:sz w:val="24"/>
          <w:szCs w:val="24"/>
          <w:lang w:val="en-GB"/>
        </w:rPr>
        <w:t xml:space="preserve">, along with some fine-grained </w:t>
      </w:r>
      <w:r w:rsidRPr="007C17A6">
        <w:rPr>
          <w:rFonts w:ascii="Times New Roman" w:hAnsi="Times New Roman" w:cs="Times New Roman"/>
          <w:color w:val="000000" w:themeColor="text1"/>
          <w:sz w:val="24"/>
          <w:szCs w:val="24"/>
          <w:lang w:val="en-GB"/>
        </w:rPr>
        <w:t xml:space="preserve">differences </w:t>
      </w:r>
      <w:r w:rsidR="007A7615" w:rsidRPr="007C17A6">
        <w:rPr>
          <w:rFonts w:ascii="Times New Roman" w:hAnsi="Times New Roman" w:cs="Times New Roman"/>
          <w:color w:val="000000" w:themeColor="text1"/>
          <w:sz w:val="24"/>
          <w:szCs w:val="24"/>
          <w:lang w:val="en-GB"/>
        </w:rPr>
        <w:t xml:space="preserve">in the ability to process specific semantic categories which result from different types of </w:t>
      </w:r>
      <w:r w:rsidRPr="007C17A6">
        <w:rPr>
          <w:rFonts w:ascii="Times New Roman" w:hAnsi="Times New Roman" w:cs="Times New Roman"/>
          <w:color w:val="000000" w:themeColor="text1"/>
          <w:sz w:val="24"/>
          <w:szCs w:val="24"/>
          <w:lang w:val="en-GB"/>
        </w:rPr>
        <w:t>dementia</w:t>
      </w:r>
      <w:r w:rsidR="007A7615" w:rsidRPr="007C17A6">
        <w:rPr>
          <w:rFonts w:ascii="Times New Roman" w:hAnsi="Times New Roman" w:cs="Times New Roman"/>
          <w:color w:val="000000" w:themeColor="text1"/>
          <w:sz w:val="24"/>
          <w:szCs w:val="24"/>
          <w:lang w:val="en-GB"/>
        </w:rPr>
        <w:t>s</w:t>
      </w:r>
      <w:r w:rsidRPr="007C17A6">
        <w:rPr>
          <w:rFonts w:ascii="Times New Roman" w:hAnsi="Times New Roman" w:cs="Times New Roman"/>
          <w:color w:val="000000" w:themeColor="text1"/>
          <w:sz w:val="24"/>
          <w:szCs w:val="24"/>
          <w:lang w:val="en-GB"/>
        </w:rPr>
        <w:t xml:space="preserve">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"10.1016/j.cortex.2017.04.016", "ISSN" : "00109452", "abstract" : "There is general agreement that perisylvian language cortex plays a major role in lexical and semantic processing; but the contribution of additional, more widespread, brain areas in the processing of different semantic word categories remains controversial. We investigated word processing in two groups of patients whose neurodegenerative diseases preferentially affect specific parts of the brain, to determine whether their performance would vary as a function of semantic categories proposed to recruit those brain regions. Cohorts with (i) Semantic Dementia (SD), who have anterior temporal-lobe atrophy, and (ii) Posterior Cortical Atrophy (PCA), who have predominantly parieto-occipital atrophy, performed a lexical decision test on words from five different lexico-semantic categories: colour (e.g., yellow), form (oval), number (seven), spatial prepositions (under) and function words (also). Sets of pseudo-word foils matched the target words in length and bi-/tri-gram frequency. Word-frequency was matched between the two visual word categories (colour and form) and across the three other categories (number, prepositions, function words). Age-matched healthy individuals served as controls. Although broad word processing deficits were apparent in both patient groups, the deficit was strongest for colour words in SD and for spatial prepositions in PCA. The patterns of performance on the lexical decision task demonstrate (a) general lexicosemantic processing deficits in both groups, though more prominent in SD than in PCA, and (b) differential involvement of anterior-temporal and posterior-parietal cortex in the processing of specific semantic categories of words.", "author" : [ { "dropping-particle" : "", "family" : "Shebani", "given" : "Zubaida", "non-dropping-particle" : "", "parse-names" : false, "suffix" : "" }, { "dropping-particle" : "", "family" : "Patterson", "given" : "Karalyn", "non-dropping-particle" : "", "parse-names" : false, "suffix" : "" }, { "dropping-particle" : "", "family" : "Nestor", "given" : "Peter J.", "non-dropping-particle" : "", "parse-names" : false, "suffix" : "" }, { "dropping-particle" : "", "family" : "Diaz-de-Grenu", "given" : "Lara Z.", "non-dropping-particle" : "", "parse-names" : false, "suffix" : "" }, { "dropping-particle" : "", "family" : "Dawson", "given" : "Kate", "non-dropping-particle" : "", "parse-names" : false, "suffix" : "" }, { "dropping-particle" : "", "family" : "Pulverm\u00fcller", "given" : "Friedemann", "non-dropping-particle" : "", "parse-names" : false, "suffix" : "" } ], "container-title" : "Cortex", "id" : "ITEM-1", "issue" : "in press", "issued" : { "date-parts" : [ [ "2017" ] ] }, "title" : "Semantic Word Category Processing in Semantic Dementia and Posterior Cortical Atrophy", "type" : "article-journal", "volume" : "in press" }, "uris" : [ "http://www.mendeley.com/documents/?uuid=0b4c188a-fb85-4200-a5a2-d5989897e3a1" ] } ], "mendeley" : { "formattedCitation" : "(Shebani et al., 2017)", "plainTextFormattedCitation" : "(Shebani et al., 2017)", "previouslyFormattedCitation" : "(Shebani et al., 2017)" }, "properties" : {  }, "schema" : "https://github.com/citation-style-language/schema/raw/master/csl-citation.json" }</w:instrText>
      </w:r>
      <w:r w:rsidRPr="007C17A6">
        <w:rPr>
          <w:rFonts w:ascii="Times New Roman" w:hAnsi="Times New Roman" w:cs="Times New Roman"/>
        </w:rPr>
        <w:fldChar w:fldCharType="separate"/>
      </w:r>
      <w:bookmarkStart w:id="147" w:name="__Fieldmark__1825_1687356023"/>
      <w:bookmarkStart w:id="148" w:name="__Fieldmark__2068_531023477"/>
      <w:bookmarkStart w:id="149" w:name="__Fieldmark__1501_2073936654"/>
      <w:r w:rsidR="00C00A10" w:rsidRPr="007C17A6">
        <w:rPr>
          <w:rFonts w:ascii="Times New Roman" w:hAnsi="Times New Roman" w:cs="Times New Roman"/>
          <w:noProof/>
          <w:color w:val="000000" w:themeColor="text1"/>
          <w:sz w:val="24"/>
          <w:szCs w:val="24"/>
          <w:lang w:val="en-GB"/>
        </w:rPr>
        <w:t>(Shebani et al., 2017)</w:t>
      </w:r>
      <w:r w:rsidRPr="007C17A6">
        <w:rPr>
          <w:rFonts w:ascii="Times New Roman" w:hAnsi="Times New Roman" w:cs="Times New Roman"/>
        </w:rPr>
        <w:fldChar w:fldCharType="end"/>
      </w:r>
      <w:bookmarkEnd w:id="147"/>
      <w:bookmarkEnd w:id="148"/>
      <w:bookmarkEnd w:id="149"/>
      <w:r w:rsidRPr="007C17A6">
        <w:rPr>
          <w:rFonts w:ascii="Times New Roman" w:hAnsi="Times New Roman" w:cs="Times New Roman"/>
          <w:color w:val="000000" w:themeColor="text1"/>
          <w:sz w:val="24"/>
          <w:szCs w:val="24"/>
          <w:lang w:val="en-GB"/>
        </w:rPr>
        <w:t xml:space="preserve">. </w:t>
      </w:r>
      <w:r w:rsidR="00B91E1C" w:rsidRPr="007C17A6">
        <w:rPr>
          <w:rFonts w:ascii="Times New Roman" w:hAnsi="Times New Roman" w:cs="Times New Roman"/>
          <w:color w:val="000000" w:themeColor="text1"/>
          <w:sz w:val="24"/>
          <w:szCs w:val="24"/>
          <w:lang w:val="en-GB"/>
        </w:rPr>
        <w:t xml:space="preserve">Neurocomputational studies </w:t>
      </w:r>
      <w:r w:rsidR="00B91E1C" w:rsidRPr="007C17A6">
        <w:rPr>
          <w:rFonts w:ascii="Times New Roman" w:hAnsi="Times New Roman" w:cs="Times New Roman"/>
          <w:color w:val="000000" w:themeColor="text1"/>
          <w:sz w:val="24"/>
          <w:szCs w:val="24"/>
          <w:lang w:val="en-GB"/>
        </w:rPr>
        <w:fldChar w:fldCharType="begin" w:fldLock="1"/>
      </w:r>
      <w:r w:rsidR="007F4106" w:rsidRPr="007C17A6">
        <w:rPr>
          <w:rFonts w:ascii="Times New Roman" w:hAnsi="Times New Roman" w:cs="Times New Roman"/>
          <w:color w:val="000000" w:themeColor="text1"/>
          <w:sz w:val="24"/>
          <w:szCs w:val="24"/>
          <w:lang w:val="en-GB"/>
        </w:rPr>
        <w:instrText>ADDIN CSL_CITATION { "citationItems" : [ { "id" : "ITEM-1", "itemData" : { "DOI" : "10.1016/j.neuron.2011.09.013", "ISBN" : "0896-6273", "ISSN" : "08966273", "PMID" : "22017995", "abstract" : "Traditional neurological models of language were based on a single neural pathway (the dorsal pathway underpinned by the arcuate fasciculus). Contemporary neuroscience indicates that anterior temporal regions and the \" ventral\" language pathway also make a significant contribution, yet there is no computationally-implemented model of the dual pathway, nor any synthesis of normal and aphasic behavior. The \" Lichtheim 2\" model was implemented by developing a new variety of computational model which reproduces and explains normal and patient data but also incorporates neuroanatomical information into its architecture. By bridging the \" mind-brain\" gap in this way, the resultant \" neurocomputational\" model provides a unique opportunity to explore the relationship between lesion location and behavioral deficits, and to provide a platform for simulating functional neuroimaging data. \u00a9 2011 Elsevier Inc.", "author" : [ { "dropping-particle" : "", "family" : "Ueno", "given" : "Taiji", "non-dropping-particle" : "", "parse-names" : false, "suffix" : "" }, { "dropping-particle" : "", "family" : "Saito", "given" : "Satoru", "non-dropping-particle" : "", "parse-names" : false, "suffix" : "" }, { "dropping-particle" : "", "family" : "Rogers", "given" : "Timothy T.", "non-dropping-particle" : "", "parse-names" : false, "suffix" : "" }, { "dropping-particle" : "", "family" : "Lambon Ralph", "given" : "Matthew A.", "non-dropping-particle" : "", "parse-names" : false, "suffix" : "" } ], "container-title" : "Neuron", "edition" : "2011/10/25", "id" : "ITEM-1", "issue" : "2", "issued" : { "date-parts" : [ [ "2011" ] ] }, "language" : "eng", "note" : "Ueno, Taiji\nSaito, Satoru\nRogers, Timothy T\nLambon Ralph, Matthew A\nG0501632/Medical Research Council/United Kingdom\nNeuron. 2011 Oct 20;72(2):385-96. doi: 10.1016/j.neuron.2011.09.013.", "page" : "385-396", "title" : "Lichtheim 2: Synthesizing aphasia and the neural basis of language in a neurocomputational model of the dual dorsal-ventral language pathways", "type" : "article-journal", "volume" : "72" }, "uris" : [ "http://www.mendeley.com/documents/?uuid=fe24341e-170d-45cc-b90c-f8f1ad2f5e4d" ] }, { "id" : "ITEM-2", "itemData" : { "DOI" : "10.1038/s41562-016-0039", "ISBN" : "4156201600", "ISSN" : "2397-3374", "author" : [ { "dropping-particle" : "", "family" : "Chen", "given" : "Lang", "non-dropping-particle" : "", "parse-names" : false, "suffix" : "" }, { "dropping-particle" : "", "family" : "Lambon Ralph", "given" : "Matthew A.", "non-dropping-particle" : "", "parse-names" : false, "suffix" : "" }, { "dropping-particle" : "", "family" : "Rogers", "given" : "Timothy T.", "non-dropping-particle" : "", "parse-names" : false, "suffix" : "" } ], "container-title" : "Nature Human Behaviour", "id" : "ITEM-2", "issue" : "March", "issued" : { "date-parts" : [ [ "2017" ] ] }, "page" : "0039", "title" : "A unified model of human semantic knowledge and its disorders", "type" : "article-journal", "volume" : "1" }, "uris" : [ "http://www.mendeley.com/documents/?uuid=a4eff1ff-4ec3-4bad-97bb-f84417a5949b", "http://www.mendeley.com/documents/?uuid=66a72b51-ad07-4793-babd-61f62214c451" ] } ], "mendeley" : { "formattedCitation" : "(Chen et al., 2017; Ueno et al., 2011)", "plainTextFormattedCitation" : "(Chen et al., 2017; Ueno et al., 2011)", "previouslyFormattedCitation" : "(Chen et al., 2017; Ueno et al., 2011)" }, "properties" : {  }, "schema" : "https://github.com/citation-style-language/schema/raw/master/csl-citation.json" }</w:instrText>
      </w:r>
      <w:r w:rsidR="00B91E1C" w:rsidRPr="007C17A6">
        <w:rPr>
          <w:rFonts w:ascii="Times New Roman" w:hAnsi="Times New Roman" w:cs="Times New Roman"/>
          <w:color w:val="000000" w:themeColor="text1"/>
          <w:sz w:val="24"/>
          <w:szCs w:val="24"/>
          <w:lang w:val="en-GB"/>
        </w:rPr>
        <w:fldChar w:fldCharType="separate"/>
      </w:r>
      <w:r w:rsidR="00B91E1C" w:rsidRPr="007C17A6">
        <w:rPr>
          <w:rFonts w:ascii="Times New Roman" w:hAnsi="Times New Roman" w:cs="Times New Roman"/>
          <w:noProof/>
          <w:color w:val="000000" w:themeColor="text1"/>
          <w:sz w:val="24"/>
          <w:szCs w:val="24"/>
          <w:lang w:val="en-GB"/>
        </w:rPr>
        <w:t>(Chen et al., 2017; Ueno et al., 2011)</w:t>
      </w:r>
      <w:r w:rsidR="00B91E1C" w:rsidRPr="007C17A6">
        <w:rPr>
          <w:rFonts w:ascii="Times New Roman" w:hAnsi="Times New Roman" w:cs="Times New Roman"/>
          <w:color w:val="000000" w:themeColor="text1"/>
          <w:sz w:val="24"/>
          <w:szCs w:val="24"/>
          <w:lang w:val="en-GB"/>
        </w:rPr>
        <w:fldChar w:fldCharType="end"/>
      </w:r>
      <w:r w:rsidR="00B91E1C" w:rsidRPr="007C17A6">
        <w:rPr>
          <w:rFonts w:ascii="Times New Roman" w:hAnsi="Times New Roman" w:cs="Times New Roman"/>
          <w:color w:val="000000" w:themeColor="text1"/>
          <w:sz w:val="24"/>
          <w:szCs w:val="24"/>
          <w:lang w:val="en-GB"/>
        </w:rPr>
        <w:t xml:space="preserve"> have investigated aspects of the hub-and-spoke model. However, as mentioned in the introduction, Chen and colleagues</w:t>
      </w:r>
      <w:r w:rsidR="00B91E1C" w:rsidRPr="007C17A6">
        <w:rPr>
          <w:rFonts w:ascii="Times New Roman" w:hAnsi="Times New Roman" w:cs="Times New Roman"/>
          <w:sz w:val="24"/>
          <w:szCs w:val="24"/>
          <w:lang w:val="en-GB"/>
        </w:rPr>
        <w:t xml:space="preserve"> did not </w:t>
      </w:r>
      <w:r w:rsidR="001F5D54" w:rsidRPr="007C17A6">
        <w:rPr>
          <w:rFonts w:ascii="Times New Roman" w:hAnsi="Times New Roman" w:cs="Times New Roman"/>
          <w:noProof/>
          <w:sz w:val="24"/>
          <w:szCs w:val="24"/>
          <w:lang w:val="en-GB"/>
        </w:rPr>
        <w:t>include</w:t>
      </w:r>
      <w:r w:rsidR="00B91E1C" w:rsidRPr="007C17A6">
        <w:rPr>
          <w:rFonts w:ascii="Times New Roman" w:hAnsi="Times New Roman" w:cs="Times New Roman"/>
          <w:sz w:val="24"/>
          <w:szCs w:val="24"/>
          <w:lang w:val="en-GB"/>
        </w:rPr>
        <w:t xml:space="preserve"> all the brain areas </w:t>
      </w:r>
      <w:r w:rsidR="007A7615" w:rsidRPr="007C17A6">
        <w:rPr>
          <w:rFonts w:ascii="Times New Roman" w:hAnsi="Times New Roman" w:cs="Times New Roman"/>
          <w:sz w:val="24"/>
          <w:szCs w:val="24"/>
          <w:lang w:val="en-GB"/>
        </w:rPr>
        <w:t xml:space="preserve">for which </w:t>
      </w:r>
      <w:r w:rsidR="00B91E1C" w:rsidRPr="007C17A6">
        <w:rPr>
          <w:rFonts w:ascii="Times New Roman" w:hAnsi="Times New Roman" w:cs="Times New Roman"/>
          <w:sz w:val="24"/>
          <w:szCs w:val="24"/>
          <w:lang w:val="en-GB"/>
        </w:rPr>
        <w:t xml:space="preserve">experimental studies </w:t>
      </w:r>
      <w:r w:rsidR="007A7615" w:rsidRPr="007C17A6">
        <w:rPr>
          <w:rFonts w:ascii="Times New Roman" w:hAnsi="Times New Roman" w:cs="Times New Roman"/>
          <w:sz w:val="24"/>
          <w:szCs w:val="24"/>
          <w:lang w:val="en-GB"/>
        </w:rPr>
        <w:t xml:space="preserve">show a critical role in general semantic processing </w:t>
      </w:r>
      <w:r w:rsidR="00B91E1C" w:rsidRPr="007C17A6">
        <w:rPr>
          <w:rFonts w:ascii="Times New Roman" w:hAnsi="Times New Roman" w:cs="Times New Roman"/>
          <w:sz w:val="24"/>
          <w:szCs w:val="24"/>
          <w:lang w:val="en-GB"/>
        </w:rPr>
        <w:t xml:space="preserve">and they used learning mechanism (i.e. back-propagation - </w:t>
      </w:r>
      <w:r w:rsidR="00B91E1C" w:rsidRPr="007C17A6">
        <w:rPr>
          <w:rFonts w:ascii="Times New Roman" w:hAnsi="Times New Roman" w:cs="Times New Roman"/>
          <w:sz w:val="24"/>
          <w:szCs w:val="24"/>
          <w:lang w:val="en-GB"/>
        </w:rPr>
        <w:fldChar w:fldCharType="begin" w:fldLock="1"/>
      </w:r>
      <w:r w:rsidR="007F4106" w:rsidRPr="007C17A6">
        <w:rPr>
          <w:rFonts w:ascii="Times New Roman" w:hAnsi="Times New Roman" w:cs="Times New Roman"/>
          <w:sz w:val="24"/>
          <w:szCs w:val="24"/>
          <w:lang w:val="en-GB"/>
        </w:rPr>
        <w:instrText>ADDIN CSL_CITATION { "citationItems" : [ { "id" : "ITEM-1", "itemData" : { "DOI" : "10.1038/s41562-016-0039", "ISBN" : "4156201600", "ISSN" : "2397-3374", "author" : [ { "dropping-particle" : "", "family" : "Chen", "given" : "Lang", "non-dropping-particle" : "", "parse-names" : false, "suffix" : "" }, { "dropping-particle" : "", "family" : "Lambon Ralph", "given" : "Matthew A.", "non-dropping-particle" : "", "parse-names" : false, "suffix" : "" }, { "dropping-particle" : "", "family" : "Rogers", "given" : "Timothy T.", "non-dropping-particle" : "", "parse-names" : false, "suffix" : "" } ], "container-title" : "Nature Human Behaviour", "id" : "ITEM-1", "issue" : "March", "issued" : { "date-parts" : [ [ "2017" ] ] }, "page" : "0039", "title" : "A unified model of human semantic knowledge and its disorders", "type" : "article-journal", "volume" : "1" }, "uris" : [ "http://www.mendeley.com/documents/?uuid=a4eff1ff-4ec3-4bad-97bb-f84417a5949b" ] }, { "id" : "ITEM-2", "itemData" : { "DOI" : "10.1016/j.neuron.2011.09.013", "ISBN" : "0896-6273", "ISSN" : "08966273", "PMID" : "22017995", "abstract" : "Traditional neurological models of language were based on a single neural pathway (the dorsal pathway underpinned by the arcuate fasciculus). Contemporary neuroscience indicates that anterior temporal regions and the \" ventral\" language pathway also make a significant contribution, yet there is no computationally-implemented model of the dual pathway, nor any synthesis of normal and aphasic behavior. The \" Lichtheim 2\" model was implemented by developing a new variety of computational model which reproduces and explains normal and patient data but also incorporates neuroanatomical information into its architecture. By bridging the \" mind-brain\" gap in this way, the resultant \" neurocomputational\" model provides a unique opportunity to explore the relationship between lesion location and behavioral deficits, and to provide a platform for simulating functional neuroimaging data. \u00a9 2011 Elsevier Inc.", "author" : [ { "dropping-particle" : "", "family" : "Ueno", "given" : "Taiji", "non-dropping-particle" : "", "parse-names" : false, "suffix" : "" }, { "dropping-particle" : "", "family" : "Saito", "given" : "Satoru", "non-dropping-particle" : "", "parse-names" : false, "suffix" : "" }, { "dropping-particle" : "", "family" : "Rogers", "given" : "Timothy T.", "non-dropping-particle" : "", "parse-names" : false, "suffix" : "" }, { "dropping-particle" : "", "family" : "Lambon Ralph", "given" : "Matthew A.", "non-dropping-particle" : "", "parse-names" : false, "suffix" : "" } ], "container-title" : "Neuron", "edition" : "2011/10/25", "id" : "ITEM-2", "issue" : "2", "issued" : { "date-parts" : [ [ "2011" ] ] }, "language" : "eng", "note" : "Ueno, Taiji\nSaito, Satoru\nRogers, Timothy T\nLambon Ralph, Matthew A\nG0501632/Medical Research Council/United Kingdom\nNeuron. 2011 Oct 20;72(2):385-96. doi: 10.1016/j.neuron.2011.09.013.", "page" : "385-396", "title" : "Lichtheim 2: Synthesizing aphasia and the neural basis of language in a neurocomputational model of the dual dorsal-ventral language pathways", "type" : "article-journal", "volume" : "72" }, "uris" : [ "http://www.mendeley.com/documents/?uuid=fe24341e-170d-45cc-b90c-f8f1ad2f5e4d" ] } ], "mendeley" : { "formattedCitation" : "(Chen et al., 2017; Ueno et al., 2011)", "manualFormatting" : "Chen et al., 2017; Ueno et al., 2011)", "plainTextFormattedCitation" : "(Chen et al., 2017; Ueno et al., 2011)", "previouslyFormattedCitation" : "(Chen et al., 2017; Ueno et al., 2011)" }, "properties" : {  }, "schema" : "https://github.com/citation-style-language/schema/raw/master/csl-citation.json" }</w:instrText>
      </w:r>
      <w:r w:rsidR="00B91E1C" w:rsidRPr="007C17A6">
        <w:rPr>
          <w:rFonts w:ascii="Times New Roman" w:hAnsi="Times New Roman" w:cs="Times New Roman"/>
          <w:sz w:val="24"/>
          <w:szCs w:val="24"/>
          <w:lang w:val="en-GB"/>
        </w:rPr>
        <w:fldChar w:fldCharType="separate"/>
      </w:r>
      <w:r w:rsidR="00B91E1C" w:rsidRPr="007C17A6">
        <w:rPr>
          <w:rFonts w:ascii="Times New Roman" w:hAnsi="Times New Roman" w:cs="Times New Roman"/>
          <w:noProof/>
          <w:sz w:val="24"/>
          <w:szCs w:val="24"/>
          <w:lang w:val="en-GB"/>
        </w:rPr>
        <w:t>Chen et al., 2017; Ueno et al., 2011)</w:t>
      </w:r>
      <w:r w:rsidR="00B91E1C" w:rsidRPr="007C17A6">
        <w:rPr>
          <w:rFonts w:ascii="Times New Roman" w:hAnsi="Times New Roman" w:cs="Times New Roman"/>
          <w:sz w:val="24"/>
          <w:szCs w:val="24"/>
          <w:lang w:val="en-GB"/>
        </w:rPr>
        <w:fldChar w:fldCharType="end"/>
      </w:r>
      <w:r w:rsidR="00B91E1C" w:rsidRPr="007C17A6">
        <w:rPr>
          <w:rFonts w:ascii="Times New Roman" w:hAnsi="Times New Roman" w:cs="Times New Roman"/>
          <w:color w:val="000000" w:themeColor="text1"/>
          <w:sz w:val="24"/>
          <w:szCs w:val="24"/>
          <w:lang w:val="en-GB"/>
        </w:rPr>
        <w:t xml:space="preserve"> </w:t>
      </w:r>
      <w:r w:rsidR="007A7615" w:rsidRPr="007C17A6">
        <w:rPr>
          <w:rFonts w:ascii="Times New Roman" w:hAnsi="Times New Roman" w:cs="Times New Roman"/>
          <w:color w:val="000000" w:themeColor="text1"/>
          <w:sz w:val="24"/>
          <w:szCs w:val="24"/>
          <w:lang w:val="en-GB"/>
        </w:rPr>
        <w:t xml:space="preserve">which were criticized as </w:t>
      </w:r>
      <w:r w:rsidR="00B91E1C" w:rsidRPr="007C17A6">
        <w:rPr>
          <w:rFonts w:ascii="Times New Roman" w:hAnsi="Times New Roman" w:cs="Times New Roman"/>
          <w:sz w:val="24"/>
          <w:szCs w:val="24"/>
          <w:lang w:val="en-GB"/>
        </w:rPr>
        <w:t xml:space="preserve">implausible for cortical networks </w:t>
      </w:r>
      <w:r w:rsidR="00B91E1C" w:rsidRPr="007C17A6">
        <w:rPr>
          <w:rFonts w:ascii="Times New Roman" w:hAnsi="Times New Roman" w:cs="Times New Roman"/>
          <w:sz w:val="24"/>
          <w:szCs w:val="24"/>
          <w:lang w:val="en-GB"/>
        </w:rPr>
        <w:fldChar w:fldCharType="begin" w:fldLock="1"/>
      </w:r>
      <w:r w:rsidR="007F4106" w:rsidRPr="007C17A6">
        <w:rPr>
          <w:rFonts w:ascii="Times New Roman" w:hAnsi="Times New Roman" w:cs="Times New Roman"/>
          <w:sz w:val="24"/>
          <w:szCs w:val="24"/>
          <w:lang w:val="en-GB"/>
        </w:rPr>
        <w:instrText>ADDIN CSL_CITATION { "citationItems" : [ { "id" : "ITEM-1", "itemData" : { "ISBN" : "0027-8424 (Print)\r0027-8424 (Linking)", "ISSN" : "0027-8424", "PMID" : "1903542", "abstract" : "Many recent studies have used artificial neural network algorithms to model how the brain might process information. However, back-propagation learning, the method that is generally used to train these networks, is distinctly \"unbiological.\" We describe here a more biologically plausible learning rule, using reinforcement learning, which we have applied to the problem of how area 7a in the posterior parietal cortex of monkeys might represent visual space in head-centered coordinates. The network behaves similarly to networks trained by using back-propagation and to neurons recorded in area 7a. These results show that a neural network does not require back propagation to acquire biologically interesting properties.", "author" : [ { "dropping-particle" : "", "family" : "Mazzoni", "given" : "P.", "non-dropping-particle" : "", "parse-names" : false, "suffix" : "" }, { "dropping-particle" : "", "family" : "Andersen", "given" : "R. A.", "non-dropping-particle" : "", "parse-names" : false, "suffix" : "" }, { "dropping-particle" : "", "family" : "Jordan", "given" : "M. I.", "non-dropping-particle" : "", "parse-names" : false, "suffix" : "" } ], "container-title" : "Proceedings of the National Academy of Sciences", "edition" : "1991/05/15", "id" : "ITEM-1", "issue" : "10", "issued" : { "date-parts" : [ [ "1991" ] ] }, "language" : "eng", "note" : "Mazzoni, P\nAndersen, R A\nJordan, M I\n5T32GM07753-10/GM/NIGMS NIH HHS/\nEY05522/EY/NEI NIH HHS/\nT32 GM007753/GM/NIGMS NIH HHS/\nProc Natl Acad Sci U S A. 1991 May 15;88(10):4433-7.", "page" : "4433-4437", "title" : "A more biologically plausible learning rule for neural networks.", "type" : "article-journal", "volume" : "88" }, "uris" : [ "http://www.mendeley.com/documents/?uuid=82c30263-3bc0-4a28-ab08-a441ec97277a" ] }, { "id" : "ITEM-2", "itemData" : { "DOI" : "10.1016/S1364-6613(98)01241-8", "ISBN" : "1364-6613", "ISSN" : "13646613", "PMID" : "21227277", "abstract" : "This review describes and motivates six principles for computational cognitive neuroscience models: biological realism, distributed representations, inhibitory competition, bidirectional activation propagation, error-driven task learning, and Hebbian model learning. Although these principles are supported by a number of cognitive, computational and biological motivations, the prototypical neural-network model (a feedforward back-propagation network) incorporates only two of them, and no widely used model incorporates all of them. It is argued here that these principles should be integrated into a coherent overall framework, and some potential synergies and conflicts in doing so are discussed.", "author" : [ { "dropping-particle" : "", "family" : "O'Reilly", "given" : "Randall C.", "non-dropping-particle" : "", "parse-names" : false, "suffix" : "" } ], "container-title" : "Trends in Cognitive Sciences", "id" : "ITEM-2", "issue" : "11", "issued" : { "date-parts" : [ [ "1998" ] ] }, "page" : "455-462", "title" : "Six principles for biologically based computational models of cortical cognition", "type" : "article-journal", "volume" : "2" }, "uris" : [ "http://www.mendeley.com/documents/?uuid=90ab6589-b6e1-4eb0-9b51-cfb24efa684e" ] } ], "mendeley" : { "formattedCitation" : "(Mazzoni et al., 1991; O\u2019Reilly, 1998)", "plainTextFormattedCitation" : "(Mazzoni et al., 1991; O\u2019Reilly, 1998)", "previouslyFormattedCitation" : "(Mazzoni et al., 1991; O\u2019Reilly, 1998)" }, "properties" : {  }, "schema" : "https://github.com/citation-style-language/schema/raw/master/csl-citation.json" }</w:instrText>
      </w:r>
      <w:r w:rsidR="00B91E1C" w:rsidRPr="007C17A6">
        <w:rPr>
          <w:rFonts w:ascii="Times New Roman" w:hAnsi="Times New Roman" w:cs="Times New Roman"/>
          <w:sz w:val="24"/>
          <w:szCs w:val="24"/>
          <w:lang w:val="en-GB"/>
        </w:rPr>
        <w:fldChar w:fldCharType="separate"/>
      </w:r>
      <w:r w:rsidR="00B91E1C" w:rsidRPr="007C17A6">
        <w:rPr>
          <w:rFonts w:ascii="Times New Roman" w:hAnsi="Times New Roman" w:cs="Times New Roman"/>
          <w:noProof/>
          <w:sz w:val="24"/>
          <w:szCs w:val="24"/>
          <w:lang w:val="en-GB"/>
        </w:rPr>
        <w:t>(Mazzoni et al., 1991; O’Reilly, 1998)</w:t>
      </w:r>
      <w:r w:rsidR="00B91E1C" w:rsidRPr="007C17A6">
        <w:rPr>
          <w:rFonts w:ascii="Times New Roman" w:hAnsi="Times New Roman" w:cs="Times New Roman"/>
          <w:sz w:val="24"/>
          <w:szCs w:val="24"/>
          <w:lang w:val="en-GB"/>
        </w:rPr>
        <w:fldChar w:fldCharType="end"/>
      </w:r>
      <w:r w:rsidR="00B91E1C" w:rsidRPr="007C17A6">
        <w:rPr>
          <w:rFonts w:ascii="Times New Roman" w:hAnsi="Times New Roman" w:cs="Times New Roman"/>
          <w:sz w:val="24"/>
          <w:szCs w:val="24"/>
          <w:lang w:val="en-GB"/>
        </w:rPr>
        <w:t>.</w:t>
      </w:r>
    </w:p>
    <w:p w14:paraId="771814D1" w14:textId="77777777" w:rsidR="00B30D84" w:rsidRPr="007C17A6" w:rsidRDefault="00B30D84" w:rsidP="00B91E1C">
      <w:pPr>
        <w:spacing w:before="120" w:after="120" w:line="240" w:lineRule="auto"/>
        <w:contextualSpacing/>
        <w:jc w:val="both"/>
        <w:rPr>
          <w:rFonts w:ascii="Times New Roman" w:hAnsi="Times New Roman" w:cs="Times New Roman"/>
        </w:rPr>
      </w:pPr>
    </w:p>
    <w:p w14:paraId="3C5BC943" w14:textId="4E52CA9F" w:rsidR="00A838DC" w:rsidRPr="007C17A6" w:rsidRDefault="00E5421A" w:rsidP="0077421C">
      <w:pPr>
        <w:spacing w:before="120" w:after="120" w:line="240" w:lineRule="auto"/>
        <w:contextualSpacing/>
        <w:jc w:val="both"/>
        <w:rPr>
          <w:rFonts w:ascii="Times New Roman" w:hAnsi="Times New Roman" w:cs="Times New Roman"/>
          <w:noProof/>
          <w:color w:val="000000" w:themeColor="text1"/>
          <w:sz w:val="24"/>
          <w:szCs w:val="24"/>
          <w:lang w:val="en-GB"/>
        </w:rPr>
      </w:pPr>
      <w:r w:rsidRPr="007C17A6">
        <w:rPr>
          <w:rFonts w:ascii="Times New Roman" w:hAnsi="Times New Roman" w:cs="Times New Roman"/>
          <w:color w:val="000000" w:themeColor="text1"/>
          <w:sz w:val="24"/>
          <w:szCs w:val="24"/>
          <w:lang w:val="en-GB"/>
        </w:rPr>
        <w:t xml:space="preserve">A claim about multiple </w:t>
      </w:r>
      <w:r w:rsidR="007A7615" w:rsidRPr="007C17A6">
        <w:rPr>
          <w:rFonts w:ascii="Times New Roman" w:hAnsi="Times New Roman" w:cs="Times New Roman"/>
          <w:color w:val="000000" w:themeColor="text1"/>
          <w:sz w:val="24"/>
          <w:szCs w:val="24"/>
          <w:lang w:val="en-GB"/>
        </w:rPr>
        <w:t xml:space="preserve">semantic </w:t>
      </w:r>
      <w:r w:rsidRPr="007C17A6">
        <w:rPr>
          <w:rFonts w:ascii="Times New Roman" w:hAnsi="Times New Roman" w:cs="Times New Roman"/>
          <w:color w:val="000000" w:themeColor="text1"/>
          <w:sz w:val="24"/>
          <w:szCs w:val="24"/>
          <w:lang w:val="en-GB"/>
        </w:rPr>
        <w:t xml:space="preserve">hubs has been made, in association with that about category-specific areas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"10.1016/j.tics.2011.10.001", "ISBN" : "2122633255", "ISSN" : "13646613", "PMID" : "22001867", "abstract" : "Semantic memory includes all acquired knowledge about the world and is the basis for nearly all human activity, yet its neurobiological foundation is only now becoming clear. Recent neuroimaging studies demonstrate two striking results: the participation of modality-specific sensory, motor, and emotion systems in language comprehension, and the existence of large brain regions that participate in comprehension tasks but are not modality-specific. These latter regions, which include the inferior parietal lobe and much of the temporal lobe, lie at convergences of multiple perceptual processing streams. These convergences enable increasingly abstract, supramodal representations of perceptual experience that support a variety of conceptual functions including object recognition, social cognition, language, and the remarkable human capacity to remember the past and imagine the future. ?? 2011 Elsevier Ltd.", "author" : [ { "dropping-particle" : "", "family" : "Binder", "given" : "Jeffrey R.", "non-dropping-particle" : "", "parse-names" : false, "suffix" : "" }, { "dropping-particle" : "", "family" : "Desai", "given" : "Rutvik H.", "non-dropping-particle" : "", "parse-names" : false, "suffix" : "" } ], "container-title" : "Trends in Cognitive Sciences", "id" : "ITEM-1", "issue" : "11", "issued" : { "date-parts" : [ [ "2011" ] ] }, "page" : "527-536", "title" : "The neurobiology of semantic memory", "type" : "article-journal", "volume" : "15" }, "uris" : [ "http://www.mendeley.com/documents/?uuid=43318fa4-cf1d-4698-91cf-e5c16b77ff8e" ] }, { "id" : "ITEM-2", "itemData" : { "DOI" : "10.1016/j.tics.2013.06.004", "ISBN" : "1364-6613", "ISSN" : "13646613", "PMID" : "23932069", "abstract" : "How brain structures and neuronal circuits mechanistically underpin symbolic meaning has recently been elucidated by neuroimaging, neuropsychological, and neurocomputational research. Modality-specific 'embodied' mechanisms anchored in sensorimotor systems appear to be relevant, as are 'disembodied' mechanisms in multimodal areas. In this paper, four semantic mechanisms are proposed and spelt out at the level of neuronal circuits: referential semantics, which establishes links between symbols and the objects and actions they are used to speak about; combinatorial semantics, which enables the learning of symbolic meaning from context; emotional-affective semantics, which establishes links between signs and internal states of the body; and abstraction mechanisms for generalizing over a range of instances of semantic meaning. Referential, combinatorial, emotional-affective, and abstract semantics are complementary mechanisms, each necessary for processing meaning in mind and brain. \u00a9 2013 Elsevier Ltd.", "author" : [ { "dropping-particle" : "", "family" : "Pulverm\u00fcller", "given" : "Friedemann", "non-dropping-particle" : "", "parse-names" : false, "suffix" : "" } ], "container-title" : "Trends in Cognitive Sciences", "id" : "ITEM-2", "issue" : "9", "issued" : { "date-parts" : [ [ "2013", "9" ] ] }, "page" : "458-470", "title" : "How neurons make meaning: Brain mechanisms for embodied and abstract-symbolic semantics", "type" : "article-journal", "volume" : "17" }, "uris" : [ "http://www.mendeley.com/documents/?uuid=8877ae30-8f96-4672-817d-cb94622f89cb" ] } ], "mendeley" : { "formattedCitation" : "(Binder and Desai, 2011; Pulverm\u00fcller, 2013)", "plainTextFormattedCitation" : "(Binder and Desai, 2011; Pulverm\u00fcller, 2013)", "previouslyFormattedCitation" : "(Binder and Desai, 2011; Pulverm\u00fcller, 2013)" }, "properties" : {  }, "schema" : "https://github.com/citation-style-language/schema/raw/master/csl-citation.json" }</w:instrText>
      </w:r>
      <w:r w:rsidRPr="007C17A6">
        <w:rPr>
          <w:rFonts w:ascii="Times New Roman" w:hAnsi="Times New Roman" w:cs="Times New Roman"/>
        </w:rPr>
        <w:fldChar w:fldCharType="separate"/>
      </w:r>
      <w:bookmarkStart w:id="150" w:name="__Fieldmark__1836_1687356023"/>
      <w:bookmarkStart w:id="151" w:name="__Fieldmark__2080_582625014"/>
      <w:bookmarkStart w:id="152" w:name="__Fieldmark__2165_531023477"/>
      <w:bookmarkStart w:id="153" w:name="__Fieldmark__1562_2073936654"/>
      <w:r w:rsidR="00C00A10" w:rsidRPr="007C17A6">
        <w:rPr>
          <w:rFonts w:ascii="Times New Roman" w:hAnsi="Times New Roman" w:cs="Times New Roman"/>
          <w:noProof/>
          <w:color w:val="000000" w:themeColor="text1"/>
          <w:sz w:val="24"/>
          <w:szCs w:val="24"/>
          <w:lang w:val="en-GB"/>
        </w:rPr>
        <w:t>(Binder and Desai, 2011; Pulvermüller, 2013)</w:t>
      </w:r>
      <w:r w:rsidRPr="007C17A6">
        <w:rPr>
          <w:rFonts w:ascii="Times New Roman" w:hAnsi="Times New Roman" w:cs="Times New Roman"/>
        </w:rPr>
        <w:fldChar w:fldCharType="end"/>
      </w:r>
      <w:bookmarkEnd w:id="150"/>
      <w:bookmarkEnd w:id="151"/>
      <w:bookmarkEnd w:id="152"/>
      <w:bookmarkEnd w:id="153"/>
      <w:r w:rsidRPr="007C17A6">
        <w:rPr>
          <w:rFonts w:ascii="Times New Roman" w:hAnsi="Times New Roman" w:cs="Times New Roman"/>
          <w:color w:val="000000" w:themeColor="text1"/>
          <w:sz w:val="24"/>
          <w:szCs w:val="24"/>
          <w:lang w:val="en-GB"/>
        </w:rPr>
        <w:t xml:space="preserve">. However, formal neural-networks that could act as a foundation of a theory of semantic brain mechanisms did so far not reach the level of </w:t>
      </w:r>
      <w:r w:rsidR="006A346A" w:rsidRPr="007C17A6">
        <w:rPr>
          <w:rFonts w:ascii="Times New Roman" w:hAnsi="Times New Roman" w:cs="Times New Roman"/>
          <w:color w:val="000000" w:themeColor="text1"/>
          <w:sz w:val="24"/>
          <w:szCs w:val="24"/>
          <w:lang w:val="en-GB"/>
        </w:rPr>
        <w:t xml:space="preserve">sophisticated neurobiologically </w:t>
      </w:r>
      <w:r w:rsidRPr="007C17A6">
        <w:rPr>
          <w:rFonts w:ascii="Times New Roman" w:hAnsi="Times New Roman" w:cs="Times New Roman"/>
          <w:color w:val="000000" w:themeColor="text1"/>
          <w:sz w:val="24"/>
          <w:szCs w:val="24"/>
          <w:lang w:val="en-GB"/>
        </w:rPr>
        <w:t xml:space="preserve">constrained </w:t>
      </w:r>
      <w:r w:rsidRPr="007C17A6">
        <w:rPr>
          <w:rFonts w:ascii="Times New Roman" w:hAnsi="Times New Roman" w:cs="Times New Roman"/>
          <w:noProof/>
          <w:color w:val="000000" w:themeColor="text1"/>
          <w:sz w:val="24"/>
          <w:szCs w:val="24"/>
          <w:lang w:val="en-GB"/>
        </w:rPr>
        <w:t>model</w:t>
      </w:r>
      <w:r w:rsidR="0052370F" w:rsidRPr="007C17A6">
        <w:rPr>
          <w:rFonts w:ascii="Times New Roman" w:hAnsi="Times New Roman" w:cs="Times New Roman"/>
          <w:noProof/>
          <w:color w:val="000000" w:themeColor="text1"/>
          <w:sz w:val="24"/>
          <w:szCs w:val="24"/>
          <w:lang w:val="en-GB"/>
        </w:rPr>
        <w:t>l</w:t>
      </w:r>
      <w:r w:rsidRPr="007C17A6">
        <w:rPr>
          <w:rFonts w:ascii="Times New Roman" w:hAnsi="Times New Roman" w:cs="Times New Roman"/>
          <w:noProof/>
          <w:color w:val="000000" w:themeColor="text1"/>
          <w:sz w:val="24"/>
          <w:szCs w:val="24"/>
          <w:lang w:val="en-GB"/>
        </w:rPr>
        <w:t>ing</w:t>
      </w:r>
      <w:r w:rsidRPr="007C17A6">
        <w:rPr>
          <w:rFonts w:ascii="Times New Roman" w:hAnsi="Times New Roman" w:cs="Times New Roman"/>
          <w:color w:val="000000" w:themeColor="text1"/>
          <w:sz w:val="24"/>
          <w:szCs w:val="24"/>
          <w:lang w:val="en-GB"/>
        </w:rPr>
        <w:t xml:space="preserve"> with spiking neurons, realistic connectivity </w:t>
      </w:r>
      <w:r w:rsidRPr="007C17A6">
        <w:rPr>
          <w:rFonts w:ascii="Times New Roman" w:hAnsi="Times New Roman" w:cs="Times New Roman"/>
          <w:noProof/>
          <w:color w:val="000000" w:themeColor="text1"/>
          <w:sz w:val="24"/>
          <w:szCs w:val="24"/>
          <w:lang w:val="en-GB"/>
        </w:rPr>
        <w:t>and</w:t>
      </w:r>
      <w:r w:rsidRPr="007C17A6">
        <w:rPr>
          <w:rFonts w:ascii="Times New Roman" w:hAnsi="Times New Roman" w:cs="Times New Roman"/>
          <w:color w:val="000000" w:themeColor="text1"/>
          <w:sz w:val="24"/>
          <w:szCs w:val="24"/>
          <w:lang w:val="en-GB"/>
        </w:rPr>
        <w:t xml:space="preserve"> learning. Earlier attempts were made using a preliminary version of the present architecture adopting non-spiking neurons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"10.1111/ejn.13145", "ISSN" : "14609568", "PMID" : "26660067", "abstract" : "Current neurobiological accounts of language and cognition offer diverging views on the questions of \u2018where\u2019 and \u2018how\u2019 semantic information is stored and processed in the human brain. Neuroimaging data showing consistent activation of different multi-modal areas during word and sentence comprehension suggest that all meanings are processed indistinctively, by a set of general semantic centres or \u2018hubs\u2019. However, words belonging to specific semantic categories selectively activate modality-preferential areas; for example, action-related words spark activity in dorsal motor cortex, whereas object-related ones activate ventral visual areas. The evidence for category-specific and category-general semantic areas begs for a unifying explanation, able to integrate the emergence of both. Here, a neurobiological model offering such an explanation is described. Using a neural architecture replicating anatomical and neurophysiological features of frontal, occipital and temporal cortices, basic aspects of word learning and semantic grounding in action and perception were simulated. As the network underwent training, distributed lexico-semantic circuits spontaneously emerged. These circuits exhibited different cortical distributions that reached into dorsal-motor or ventral-visual areas, reflecting the correlated category-specific sensorimotor patterns that co-occurred during action- or object-related semantic grounding, respectively. Crucially, substantial numbers of neurons of both types of distributed circuits emerged in areas interfacing between modality-preferential regions, i.e. in multimodal connection hubs, which therefore became loci of general semantic binding. By relating neuroanatomical structure and cellular-level learning mechanisms with system-level cognitive function, this model offers a neurobiological account of category-general and category-specific semantic areas based on the different cortical distributions of the underlying semantic circuits.", "author" : [ { "dropping-particle" : "", "family" : "Garagnani", "given" : "Max", "non-dropping-particle" : "", "parse-names" : false, "suffix" : "" }, { "dropping-particle" : "", "family" : "Pulverm\u00fcller", "given" : "Friedemann", "non-dropping-particle" : "", "parse-names" : false, "suffix" : "" } ], "container-title" : "European Journal of Neuroscience", "id" : "ITEM-1", "issue" : "6", "issued" : { "date-parts" : [ [ "2016" ] ] }, "page" : "721-737", "title" : "Conceptual grounding of language in action and perception: A neurocomputational model of the emergence of category specificity and semantic hubs", "type" : "article-journal", "volume" : "43" }, "uris" : [ "http://www.mendeley.com/documents/?uuid=a62ced76-f824-4d5c-b637-089f298a93a8" ] }, { "id" : "ITEM-2", "itemData" : { "DOI" : "http://doi.org/10.1016/j.neuropsychologia.2016.07.004.", "ISSN" : "0028-3932", "abstract" : "Neuroimaging and patient studies show that different areas of cortex respectively specialize for general and selective, or category-specific, semantic processing. Why are there both semantic hubs and category-specificity, and how come that they emerge in different cortical regions? Can the activation time-course of these areas be predicted and explained by brain-like network models? In this present work, we extend a neurocomputational model of human cortical function to simulate the time-course of cortical processes of understanding meaningful concrete words. The model implements frontal and temporal cortical areas for language, perception, and action along with their connectivity. It uses Hebbian learning to semantically ground words in aspects of their referential object- and action-related meaning. Compared with earlier proposals, the present model incorporates additional neuroanatomical links supported by connectivity studies and downscaled synaptic weights in order to control for functional between-area differences purely due to the number of in- or output links of an area. We show that learning of semantic relationships between words and the objects and actions these symbols are used to speak about, leads to the formation of distributed circuits, which all include neuronal material in connector hub areas bridging between sensory and motor cortical systems. Therefore, these connector hub areas acquire a role as semantic hubs. By differentially reaching into motor or visual areas, the cortical distributions of the emergent 'semantic circuits' reflect aspects of the represented symbols' meaning, thus explaining category-specificity. The improved connectivity structure of our model entails a degree of category-specificity even in the 'semantic hubs' of the model. The relative time-course of activation of these areas is typically fast and near-simultaneous, with semantic hubs central to the network structure activating before modality-preferential areas carrying semantic information.", "author" : [ { "dropping-particle" : "", "family" : "Tomasello", "given" : "Rosario", "non-dropping-particle" : "", "parse-names" : false, "suffix" :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"Neuropsychologia", "id" : "ITEM-2", "issue" : "April", "issued" : { "date-parts" : [ [ "2017" ] ] }, "page" : "111-129", "title" : "Brain connections of words, perceptions and actions: A neurobiological model of spatio-temporal semantic activation in the human cortex", "type" : "article-journal", "volume" : "98" }, "uris" : [ "http://www.mendeley.com/documents/?uuid=d40add22-d615-41bc-8a72-daad31f31798" ] } ], "mendeley" : { "formattedCitation" : "(Garagnani and Pulverm\u00fcller, 2016; Tomasello et al., 2017)", "plainTextFormattedCitation" : "(Garagnani and Pulverm\u00fcller, 2016; Tomasello et al., 2017)", "previouslyFormattedCitation" : "(Garagnani and Pulverm\u00fcller, 2016; Tomasello et al., 2017)" }, "properties" : {  }, "schema" : "https://github.com/citation-style-language/schema/raw/master/csl-citation.json" }</w:instrText>
      </w:r>
      <w:r w:rsidRPr="007C17A6">
        <w:rPr>
          <w:rFonts w:ascii="Times New Roman" w:hAnsi="Times New Roman" w:cs="Times New Roman"/>
        </w:rPr>
        <w:fldChar w:fldCharType="separate"/>
      </w:r>
      <w:bookmarkStart w:id="154" w:name="__Fieldmark__1849_1687356023"/>
      <w:bookmarkStart w:id="155" w:name="__Fieldmark__2107_582625014"/>
      <w:bookmarkStart w:id="156" w:name="__Fieldmark__2176_531023477"/>
      <w:bookmarkStart w:id="157" w:name="__Fieldmark__1573_2073936654"/>
      <w:r w:rsidR="0096169A" w:rsidRPr="007C17A6">
        <w:rPr>
          <w:rFonts w:ascii="Times New Roman" w:hAnsi="Times New Roman" w:cs="Times New Roman"/>
          <w:noProof/>
          <w:color w:val="000000" w:themeColor="text1"/>
          <w:sz w:val="24"/>
          <w:szCs w:val="24"/>
          <w:lang w:val="en-GB"/>
        </w:rPr>
        <w:t>(Garagnani and Pulvermüller, 2016; Tomasello et al., 2017)</w:t>
      </w:r>
      <w:r w:rsidRPr="007C17A6">
        <w:rPr>
          <w:rFonts w:ascii="Times New Roman" w:hAnsi="Times New Roman" w:cs="Times New Roman"/>
        </w:rPr>
        <w:fldChar w:fldCharType="end"/>
      </w:r>
      <w:bookmarkEnd w:id="154"/>
      <w:bookmarkEnd w:id="155"/>
      <w:bookmarkEnd w:id="156"/>
      <w:bookmarkEnd w:id="157"/>
      <w:r w:rsidRPr="007C17A6">
        <w:rPr>
          <w:rFonts w:ascii="Times New Roman" w:hAnsi="Times New Roman" w:cs="Times New Roman"/>
          <w:color w:val="000000" w:themeColor="text1"/>
          <w:sz w:val="24"/>
          <w:szCs w:val="24"/>
          <w:lang w:val="en-GB"/>
        </w:rPr>
        <w:t xml:space="preserve">. These previous models already suggest an explanation of category-general and category-specific semantic processing, but their conclusions were less precise, as based on </w:t>
      </w:r>
      <w:r w:rsidRPr="007C17A6">
        <w:rPr>
          <w:rFonts w:ascii="Times New Roman" w:hAnsi="Times New Roman" w:cs="Times New Roman"/>
          <w:noProof/>
          <w:color w:val="000000" w:themeColor="text1"/>
          <w:sz w:val="24"/>
          <w:szCs w:val="24"/>
          <w:lang w:val="en-GB"/>
        </w:rPr>
        <w:t>a less</w:t>
      </w:r>
      <w:r w:rsidRPr="007C17A6">
        <w:rPr>
          <w:rFonts w:ascii="Times New Roman" w:hAnsi="Times New Roman" w:cs="Times New Roman"/>
          <w:color w:val="000000" w:themeColor="text1"/>
          <w:sz w:val="24"/>
          <w:szCs w:val="24"/>
          <w:lang w:val="en-GB"/>
        </w:rPr>
        <w:t xml:space="preserve"> accurate </w:t>
      </w:r>
      <w:r w:rsidRPr="007C17A6">
        <w:rPr>
          <w:rFonts w:ascii="Times New Roman" w:hAnsi="Times New Roman" w:cs="Times New Roman"/>
          <w:noProof/>
          <w:color w:val="000000" w:themeColor="text1"/>
          <w:sz w:val="24"/>
          <w:szCs w:val="24"/>
          <w:lang w:val="en-GB"/>
        </w:rPr>
        <w:t>model</w:t>
      </w:r>
      <w:r w:rsidR="0052370F" w:rsidRPr="007C17A6">
        <w:rPr>
          <w:rFonts w:ascii="Times New Roman" w:hAnsi="Times New Roman" w:cs="Times New Roman"/>
          <w:noProof/>
          <w:color w:val="000000" w:themeColor="text1"/>
          <w:sz w:val="24"/>
          <w:szCs w:val="24"/>
          <w:lang w:val="en-GB"/>
        </w:rPr>
        <w:t>l</w:t>
      </w:r>
      <w:r w:rsidRPr="007C17A6">
        <w:rPr>
          <w:rFonts w:ascii="Times New Roman" w:hAnsi="Times New Roman" w:cs="Times New Roman"/>
          <w:noProof/>
          <w:color w:val="000000" w:themeColor="text1"/>
          <w:sz w:val="24"/>
          <w:szCs w:val="24"/>
          <w:lang w:val="en-GB"/>
        </w:rPr>
        <w:t>ing</w:t>
      </w:r>
      <w:r w:rsidRPr="007C17A6">
        <w:rPr>
          <w:rFonts w:ascii="Times New Roman" w:hAnsi="Times New Roman" w:cs="Times New Roman"/>
          <w:color w:val="000000" w:themeColor="text1"/>
          <w:sz w:val="24"/>
          <w:szCs w:val="24"/>
          <w:lang w:val="en-GB"/>
        </w:rPr>
        <w:t xml:space="preserve"> of neurophysiological features of the cortex. </w:t>
      </w:r>
    </w:p>
    <w:p w14:paraId="57CD7A41" w14:textId="09A90510" w:rsidR="00500D7B" w:rsidRPr="007C17A6" w:rsidRDefault="00500D7B" w:rsidP="00BE3A26">
      <w:pPr>
        <w:pStyle w:val="Heading2"/>
        <w:rPr>
          <w:rFonts w:ascii="Times New Roman" w:hAnsi="Times New Roman" w:cs="Times New Roman"/>
          <w:b/>
          <w:color w:val="000000" w:themeColor="text1"/>
          <w:sz w:val="24"/>
          <w:szCs w:val="24"/>
        </w:rPr>
      </w:pPr>
      <w:r w:rsidRPr="007C17A6">
        <w:rPr>
          <w:rStyle w:val="Heading1Char"/>
          <w:rFonts w:ascii="Times New Roman" w:hAnsi="Times New Roman" w:cs="Times New Roman"/>
          <w:color w:val="000000" w:themeColor="text1"/>
          <w:sz w:val="24"/>
          <w:szCs w:val="24"/>
        </w:rPr>
        <w:t>Novel contribution: increased brain-constraints</w:t>
      </w:r>
    </w:p>
    <w:p w14:paraId="2844D673" w14:textId="5826DD8F" w:rsidR="00A838DC" w:rsidRPr="007C17A6" w:rsidRDefault="00E5421A" w:rsidP="0077421C">
      <w:pPr>
        <w:spacing w:before="120" w:after="120" w:line="240" w:lineRule="auto"/>
        <w:contextualSpacing/>
        <w:jc w:val="both"/>
        <w:rPr>
          <w:rFonts w:ascii="Times New Roman" w:hAnsi="Times New Roman" w:cs="Times New Roman"/>
          <w:color w:val="000000" w:themeColor="text1"/>
          <w:sz w:val="24"/>
          <w:szCs w:val="24"/>
          <w:lang w:val="en-GB"/>
        </w:rPr>
      </w:pPr>
      <w:r w:rsidRPr="007C17A6">
        <w:rPr>
          <w:rFonts w:ascii="Times New Roman" w:hAnsi="Times New Roman" w:cs="Times New Roman"/>
          <w:color w:val="000000" w:themeColor="text1"/>
          <w:sz w:val="24"/>
          <w:szCs w:val="24"/>
          <w:lang w:val="en-GB"/>
        </w:rPr>
        <w:t xml:space="preserve">Here, we added </w:t>
      </w:r>
      <w:r w:rsidRPr="007C17A6">
        <w:rPr>
          <w:rFonts w:ascii="Times New Roman" w:hAnsi="Times New Roman" w:cs="Times New Roman"/>
          <w:noProof/>
          <w:color w:val="000000" w:themeColor="text1"/>
          <w:sz w:val="24"/>
          <w:szCs w:val="24"/>
          <w:lang w:val="en-GB"/>
        </w:rPr>
        <w:t>important</w:t>
      </w:r>
      <w:r w:rsidRPr="007C17A6">
        <w:rPr>
          <w:rFonts w:ascii="Times New Roman" w:hAnsi="Times New Roman" w:cs="Times New Roman"/>
          <w:color w:val="000000" w:themeColor="text1"/>
          <w:sz w:val="24"/>
          <w:szCs w:val="24"/>
          <w:lang w:val="en-GB"/>
        </w:rPr>
        <w:t xml:space="preserve"> neurobiological constraints, introducing leaky integrate-and-fire ne</w:t>
      </w:r>
      <w:r w:rsidR="00D54BE4" w:rsidRPr="007C17A6">
        <w:rPr>
          <w:rFonts w:ascii="Times New Roman" w:hAnsi="Times New Roman" w:cs="Times New Roman"/>
          <w:color w:val="000000" w:themeColor="text1"/>
          <w:sz w:val="24"/>
          <w:szCs w:val="24"/>
          <w:lang w:val="en-GB"/>
        </w:rPr>
        <w:t>urons that transform</w:t>
      </w:r>
      <w:r w:rsidRPr="007C17A6">
        <w:rPr>
          <w:rFonts w:ascii="Times New Roman" w:hAnsi="Times New Roman" w:cs="Times New Roman"/>
          <w:color w:val="000000" w:themeColor="text1"/>
          <w:sz w:val="24"/>
          <w:szCs w:val="24"/>
          <w:lang w:val="en-GB"/>
        </w:rPr>
        <w:t xml:space="preserve"> their summed input non-linearly into discrete output in the form of spikes. Similarly to biological neurons, functional interaction within the present model was based on </w:t>
      </w:r>
      <w:r w:rsidRPr="007C17A6">
        <w:rPr>
          <w:rFonts w:ascii="Times New Roman" w:hAnsi="Times New Roman" w:cs="Times New Roman"/>
          <w:color w:val="000000" w:themeColor="text1"/>
          <w:sz w:val="24"/>
          <w:szCs w:val="24"/>
          <w:lang w:val="en-GB"/>
        </w:rPr>
        <w:lastRenderedPageBreak/>
        <w:t>discrete spikes, whereas previous mean-field networks used continuous activity functions (</w:t>
      </w:r>
      <w:r w:rsidRPr="007C17A6">
        <w:rPr>
          <w:rFonts w:ascii="Times New Roman" w:hAnsi="Times New Roman" w:cs="Times New Roman"/>
          <w:noProof/>
          <w:color w:val="000000" w:themeColor="text1"/>
          <w:sz w:val="24"/>
          <w:szCs w:val="24"/>
          <w:lang w:val="en-GB"/>
        </w:rPr>
        <w:t>i.e.</w:t>
      </w:r>
      <w:r w:rsidRPr="007C17A6">
        <w:rPr>
          <w:rFonts w:ascii="Times New Roman" w:hAnsi="Times New Roman" w:cs="Times New Roman"/>
          <w:color w:val="000000" w:themeColor="text1"/>
          <w:sz w:val="24"/>
          <w:szCs w:val="24"/>
          <w:lang w:val="en-GB"/>
        </w:rPr>
        <w:t xml:space="preserve"> graded-response neurons), a less realistic implementation. Using graded-</w:t>
      </w:r>
      <w:r w:rsidR="00D54BE4" w:rsidRPr="007C17A6">
        <w:rPr>
          <w:rFonts w:ascii="Times New Roman" w:hAnsi="Times New Roman" w:cs="Times New Roman"/>
          <w:color w:val="000000" w:themeColor="text1"/>
          <w:sz w:val="24"/>
          <w:szCs w:val="24"/>
          <w:lang w:val="en-GB"/>
        </w:rPr>
        <w:t xml:space="preserve">response </w:t>
      </w:r>
      <w:r w:rsidRPr="007C17A6">
        <w:rPr>
          <w:rFonts w:ascii="Times New Roman" w:hAnsi="Times New Roman" w:cs="Times New Roman"/>
          <w:color w:val="000000" w:themeColor="text1"/>
          <w:sz w:val="24"/>
          <w:szCs w:val="24"/>
          <w:lang w:val="en-GB"/>
        </w:rPr>
        <w:t>neurons makes it easier to build distributed neural circuits across multi</w:t>
      </w:r>
      <w:r w:rsidR="00D54BE4" w:rsidRPr="007C17A6">
        <w:rPr>
          <w:rFonts w:ascii="Times New Roman" w:hAnsi="Times New Roman" w:cs="Times New Roman"/>
          <w:color w:val="000000" w:themeColor="text1"/>
          <w:sz w:val="24"/>
          <w:szCs w:val="24"/>
          <w:lang w:val="en-GB"/>
        </w:rPr>
        <w:t xml:space="preserve">ple </w:t>
      </w:r>
      <w:r w:rsidRPr="007C17A6">
        <w:rPr>
          <w:rFonts w:ascii="Times New Roman" w:hAnsi="Times New Roman" w:cs="Times New Roman"/>
          <w:color w:val="000000" w:themeColor="text1"/>
          <w:sz w:val="24"/>
          <w:szCs w:val="24"/>
          <w:lang w:val="en-GB"/>
        </w:rPr>
        <w:t xml:space="preserve">areas as a result of action-perception </w:t>
      </w:r>
      <w:r w:rsidRPr="007C17A6">
        <w:rPr>
          <w:rFonts w:ascii="Times New Roman" w:hAnsi="Times New Roman" w:cs="Times New Roman"/>
          <w:noProof/>
          <w:color w:val="000000" w:themeColor="text1"/>
          <w:sz w:val="24"/>
          <w:szCs w:val="24"/>
          <w:lang w:val="en-GB"/>
        </w:rPr>
        <w:t>learning</w:t>
      </w:r>
      <w:r w:rsidRPr="007C17A6">
        <w:rPr>
          <w:rFonts w:ascii="Times New Roman" w:hAnsi="Times New Roman" w:cs="Times New Roman"/>
          <w:color w:val="000000" w:themeColor="text1"/>
          <w:sz w:val="24"/>
          <w:szCs w:val="24"/>
          <w:lang w:val="en-GB"/>
        </w:rPr>
        <w:t xml:space="preserve"> since this type of neuron retains an increased firing rate for </w:t>
      </w:r>
      <w:r w:rsidR="00136E73" w:rsidRPr="007C17A6">
        <w:rPr>
          <w:rFonts w:ascii="Times New Roman" w:hAnsi="Times New Roman" w:cs="Times New Roman"/>
          <w:noProof/>
          <w:color w:val="000000" w:themeColor="text1"/>
          <w:sz w:val="24"/>
          <w:szCs w:val="24"/>
          <w:lang w:val="en-GB"/>
        </w:rPr>
        <w:t>more extended</w:t>
      </w:r>
      <w:r w:rsidRPr="007C17A6">
        <w:rPr>
          <w:rFonts w:ascii="Times New Roman" w:hAnsi="Times New Roman" w:cs="Times New Roman"/>
          <w:color w:val="000000" w:themeColor="text1"/>
          <w:sz w:val="24"/>
          <w:szCs w:val="24"/>
          <w:lang w:val="en-GB"/>
        </w:rPr>
        <w:t xml:space="preserve"> periods. It was</w:t>
      </w:r>
      <w:r w:rsidR="00136E73" w:rsidRPr="007C17A6">
        <w:rPr>
          <w:rFonts w:ascii="Times New Roman" w:hAnsi="Times New Roman" w:cs="Times New Roman"/>
          <w:color w:val="000000" w:themeColor="text1"/>
          <w:sz w:val="24"/>
          <w:szCs w:val="24"/>
          <w:lang w:val="en-GB"/>
        </w:rPr>
        <w:t>, therefore,</w:t>
      </w:r>
      <w:r w:rsidRPr="007C17A6">
        <w:rPr>
          <w:rFonts w:ascii="Times New Roman" w:hAnsi="Times New Roman" w:cs="Times New Roman"/>
          <w:color w:val="000000" w:themeColor="text1"/>
          <w:sz w:val="24"/>
          <w:szCs w:val="24"/>
          <w:lang w:val="en-GB"/>
        </w:rPr>
        <w:t xml:space="preserve"> crucial to investigate the possibility of distributed circuit formation with spiking neurons, which show an activation (action potential) for a short moment and then go silent again.</w:t>
      </w:r>
    </w:p>
    <w:p w14:paraId="3F8A84D5" w14:textId="77777777" w:rsidR="00B30D84" w:rsidRPr="007C17A6" w:rsidRDefault="00B30D84" w:rsidP="00E740D6">
      <w:pPr>
        <w:spacing w:before="120" w:after="120" w:line="240" w:lineRule="auto"/>
        <w:ind w:firstLine="288"/>
        <w:contextualSpacing/>
        <w:jc w:val="both"/>
        <w:rPr>
          <w:rFonts w:ascii="Times New Roman" w:hAnsi="Times New Roman" w:cs="Times New Roman"/>
        </w:rPr>
      </w:pPr>
    </w:p>
    <w:p w14:paraId="73E3BBB6" w14:textId="361CE547" w:rsidR="00A838DC" w:rsidRPr="007C17A6" w:rsidRDefault="00E5421A" w:rsidP="0077421C">
      <w:pPr>
        <w:spacing w:before="240" w:line="240" w:lineRule="auto"/>
        <w:contextualSpacing/>
        <w:jc w:val="both"/>
        <w:rPr>
          <w:rFonts w:ascii="Times New Roman" w:hAnsi="Times New Roman" w:cs="Times New Roman"/>
          <w:sz w:val="24"/>
          <w:szCs w:val="24"/>
          <w:lang w:val="en-GB" w:eastAsia="zh-CN"/>
        </w:rPr>
      </w:pPr>
      <w:r w:rsidRPr="007C17A6">
        <w:rPr>
          <w:rFonts w:ascii="Times New Roman" w:hAnsi="Times New Roman" w:cs="Times New Roman"/>
          <w:color w:val="000000" w:themeColor="text1"/>
          <w:sz w:val="24"/>
          <w:szCs w:val="24"/>
          <w:lang w:val="en-GB"/>
        </w:rPr>
        <w:t xml:space="preserve">Compared with earlier studies, the present network included a more realistic set of cortico-cortical </w:t>
      </w:r>
      <w:r w:rsidRPr="007C17A6">
        <w:rPr>
          <w:rFonts w:ascii="Times New Roman" w:hAnsi="Times New Roman" w:cs="Times New Roman"/>
          <w:noProof/>
          <w:color w:val="000000" w:themeColor="text1"/>
          <w:sz w:val="24"/>
          <w:szCs w:val="24"/>
          <w:lang w:val="en-GB"/>
        </w:rPr>
        <w:t>fibre</w:t>
      </w:r>
      <w:r w:rsidRPr="007C17A6">
        <w:rPr>
          <w:rFonts w:ascii="Times New Roman" w:hAnsi="Times New Roman" w:cs="Times New Roman"/>
          <w:color w:val="000000" w:themeColor="text1"/>
          <w:sz w:val="24"/>
          <w:szCs w:val="24"/>
          <w:lang w:val="en-GB"/>
        </w:rPr>
        <w:t xml:space="preserve"> tracts, adding second-next area connections or ‘jumping links’ (blue arrows Fig 1.A-B) indicated by DTI/DWI studies</w:t>
      </w:r>
      <w:r w:rsidRPr="007C17A6">
        <w:rPr>
          <w:rFonts w:ascii="Times New Roman" w:hAnsi="Times New Roman" w:cs="Times New Roman"/>
          <w:color w:val="000000" w:themeColor="text1"/>
          <w:sz w:val="24"/>
          <w:szCs w:val="24"/>
        </w:rPr>
        <w:t xml:space="preserve">. </w:t>
      </w:r>
      <w:r w:rsidRPr="007C17A6">
        <w:rPr>
          <w:rFonts w:ascii="Times New Roman" w:hAnsi="Times New Roman" w:cs="Times New Roman"/>
          <w:color w:val="000000" w:themeColor="text1"/>
          <w:sz w:val="24"/>
          <w:szCs w:val="24"/>
          <w:lang w:val="en-GB"/>
        </w:rPr>
        <w:t xml:space="preserve">A recent neurocomputational study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"10.1523/JNEUROSCI.2693-16.2017", "author" : [ { "dropping-particle" : "", "family" : "Schomers", "given" : "Malte R", "non-dropping-particle" : "", "parse-names" : false, "suffix" : "" }, { "dropping-particle" : "", "family" : "Garagnani", "given" : "Max", "non-dropping-particle" : "", "parse-names" : false, "suffix" : "" }, { "dropping-particle" : "", "family" : "Pulverm\u00fcller", "given" : "Friedemann", "non-dropping-particle" : "", "parse-names" : false, "suffix" : "" } ], "container-title" : "Journal of Neuroscience", "id" : "ITEM-1", "issue" : "11", "issued" : { "date-parts" : [ [ "2017" ] ] }, "page" : "3045-3055", "title" : "Neurocomputational Consequences of Evolutionary Connectivity Changes in Perisylvian Language Cortex", "type" : "article-journal", "volume" : "37" }, "uris" : [ "http://www.mendeley.com/documents/?uuid=24492328-a7f0-4f9c-866e-96cd3f40bd12" ] } ], "mendeley" : { "formattedCitation" : "(Schomers et al., 2017)", "plainTextFormattedCitation" : "(Schomers et al., 2017)", "previouslyFormattedCitation" : "(Schomers et al., 2017)" }, "properties" : {  }, "schema" : "https://github.com/citation-style-language/schema/raw/master/csl-citation.json" }</w:instrText>
      </w:r>
      <w:r w:rsidRPr="007C17A6">
        <w:rPr>
          <w:rFonts w:ascii="Times New Roman" w:hAnsi="Times New Roman" w:cs="Times New Roman"/>
        </w:rPr>
        <w:fldChar w:fldCharType="separate"/>
      </w:r>
      <w:bookmarkStart w:id="158" w:name="__Fieldmark__1883_1687356023"/>
      <w:bookmarkStart w:id="159" w:name="__Fieldmark__2203_531023477"/>
      <w:bookmarkStart w:id="160" w:name="__Fieldmark__1592_2073936654"/>
      <w:r w:rsidR="00C00A10" w:rsidRPr="007C17A6">
        <w:rPr>
          <w:rFonts w:ascii="Times New Roman" w:hAnsi="Times New Roman" w:cs="Times New Roman"/>
          <w:noProof/>
          <w:color w:val="000000" w:themeColor="text1"/>
          <w:sz w:val="24"/>
          <w:szCs w:val="24"/>
          <w:lang w:val="en-GB"/>
        </w:rPr>
        <w:t>(Schomers et al., 2017)</w:t>
      </w:r>
      <w:r w:rsidRPr="007C17A6">
        <w:rPr>
          <w:rFonts w:ascii="Times New Roman" w:hAnsi="Times New Roman" w:cs="Times New Roman"/>
        </w:rPr>
        <w:fldChar w:fldCharType="end"/>
      </w:r>
      <w:bookmarkEnd w:id="158"/>
      <w:bookmarkEnd w:id="159"/>
      <w:bookmarkEnd w:id="160"/>
      <w:r w:rsidRPr="007C17A6">
        <w:rPr>
          <w:rFonts w:ascii="Times New Roman" w:hAnsi="Times New Roman" w:cs="Times New Roman"/>
          <w:color w:val="000000" w:themeColor="text1"/>
          <w:sz w:val="24"/>
          <w:szCs w:val="24"/>
          <w:lang w:val="en-GB"/>
        </w:rPr>
        <w:t xml:space="preserve"> showed that these </w:t>
      </w:r>
      <w:r w:rsidRPr="007C17A6">
        <w:rPr>
          <w:rFonts w:ascii="Times New Roman" w:hAnsi="Times New Roman" w:cs="Times New Roman"/>
          <w:noProof/>
          <w:color w:val="000000" w:themeColor="text1"/>
          <w:sz w:val="24"/>
          <w:szCs w:val="24"/>
          <w:lang w:val="en-GB"/>
        </w:rPr>
        <w:t>jumping</w:t>
      </w:r>
      <w:r w:rsidRPr="007C17A6">
        <w:rPr>
          <w:rFonts w:ascii="Times New Roman" w:hAnsi="Times New Roman" w:cs="Times New Roman"/>
          <w:color w:val="000000" w:themeColor="text1"/>
          <w:sz w:val="24"/>
          <w:szCs w:val="24"/>
          <w:lang w:val="en-GB"/>
        </w:rPr>
        <w:t xml:space="preserve"> links are instrumental for building verbal short-term memory, a capacity crucial for human language learning. </w:t>
      </w:r>
      <w:r w:rsidRPr="007C17A6">
        <w:rPr>
          <w:rFonts w:ascii="Times New Roman" w:hAnsi="Times New Roman" w:cs="Times New Roman"/>
          <w:color w:val="000000" w:themeColor="text1"/>
          <w:sz w:val="24"/>
          <w:szCs w:val="24"/>
        </w:rPr>
        <w:t xml:space="preserve">Furthermore, previous exploratory implementation of ‘jumping links’ in an extended semantic network of </w:t>
      </w:r>
      <w:r w:rsidRPr="007C17A6">
        <w:rPr>
          <w:rFonts w:ascii="Times New Roman" w:hAnsi="Times New Roman" w:cs="Times New Roman"/>
          <w:noProof/>
          <w:color w:val="000000" w:themeColor="text1"/>
          <w:sz w:val="24"/>
          <w:szCs w:val="24"/>
        </w:rPr>
        <w:t>mean</w:t>
      </w:r>
      <w:r w:rsidR="003537E3" w:rsidRPr="007C17A6">
        <w:rPr>
          <w:rFonts w:ascii="Times New Roman" w:hAnsi="Times New Roman" w:cs="Times New Roman"/>
          <w:color w:val="000000" w:themeColor="text1"/>
          <w:sz w:val="24"/>
          <w:szCs w:val="24"/>
        </w:rPr>
        <w:t>-</w:t>
      </w:r>
      <w:r w:rsidRPr="007C17A6">
        <w:rPr>
          <w:rFonts w:ascii="Times New Roman" w:hAnsi="Times New Roman" w:cs="Times New Roman"/>
          <w:color w:val="000000" w:themeColor="text1"/>
          <w:sz w:val="24"/>
          <w:szCs w:val="24"/>
        </w:rPr>
        <w:t xml:space="preserve">field (non-spiking/gradually active) neuronal elements </w:t>
      </w:r>
      <w:r w:rsidRPr="007C17A6">
        <w:rPr>
          <w:rFonts w:ascii="Times New Roman" w:hAnsi="Times New Roman" w:cs="Times New Roman"/>
          <w:color w:val="000000" w:themeColor="text1"/>
          <w:sz w:val="24"/>
          <w:szCs w:val="24"/>
          <w:lang w:val="en-GB"/>
        </w:rPr>
        <w:t xml:space="preserve">suggested a degree of over-activation in case of implementation of the rich set of cortico-cortical connections, thus preventing precise simulation of more realistic connectivity. The use of spiking neuronal cells, whose action potentials only last for </w:t>
      </w:r>
      <w:r w:rsidRPr="007C17A6">
        <w:rPr>
          <w:rFonts w:ascii="Times New Roman" w:hAnsi="Times New Roman" w:cs="Times New Roman"/>
          <w:noProof/>
          <w:color w:val="000000" w:themeColor="text1"/>
          <w:sz w:val="24"/>
          <w:szCs w:val="24"/>
          <w:lang w:val="en-GB"/>
        </w:rPr>
        <w:t>1</w:t>
      </w:r>
      <w:r w:rsidRPr="007C17A6">
        <w:rPr>
          <w:rFonts w:ascii="Times New Roman" w:hAnsi="Times New Roman" w:cs="Times New Roman"/>
          <w:color w:val="000000" w:themeColor="text1"/>
          <w:sz w:val="24"/>
          <w:szCs w:val="24"/>
          <w:lang w:val="en-GB"/>
        </w:rPr>
        <w:t xml:space="preserve"> simulation time-step and therefore produced less activity overall compared with the graded-neuron network, opened the possibility to include additional connection pathways documented by recent research without running into over-activation problems.</w:t>
      </w:r>
      <w:r w:rsidRPr="007C17A6">
        <w:rPr>
          <w:rFonts w:ascii="Times New Roman" w:hAnsi="Times New Roman" w:cs="Times New Roman"/>
          <w:color w:val="000000" w:themeColor="text1"/>
          <w:sz w:val="24"/>
          <w:szCs w:val="24"/>
        </w:rPr>
        <w:t xml:space="preserve"> On the other hand, spiking-neuron networks with just next </w:t>
      </w:r>
      <w:r w:rsidRPr="007C17A6">
        <w:rPr>
          <w:rFonts w:ascii="Times New Roman" w:hAnsi="Times New Roman" w:cs="Times New Roman"/>
          <w:noProof/>
          <w:color w:val="000000" w:themeColor="text1"/>
          <w:sz w:val="24"/>
          <w:szCs w:val="24"/>
        </w:rPr>
        <w:t>neighbo</w:t>
      </w:r>
      <w:r w:rsidR="003537E3" w:rsidRPr="007C17A6">
        <w:rPr>
          <w:rFonts w:ascii="Times New Roman" w:hAnsi="Times New Roman" w:cs="Times New Roman"/>
          <w:noProof/>
          <w:color w:val="000000" w:themeColor="text1"/>
          <w:sz w:val="24"/>
          <w:szCs w:val="24"/>
        </w:rPr>
        <w:t>u</w:t>
      </w:r>
      <w:r w:rsidRPr="007C17A6">
        <w:rPr>
          <w:rFonts w:ascii="Times New Roman" w:hAnsi="Times New Roman" w:cs="Times New Roman"/>
          <w:noProof/>
          <w:color w:val="000000" w:themeColor="text1"/>
          <w:sz w:val="24"/>
          <w:szCs w:val="24"/>
        </w:rPr>
        <w:t>r</w:t>
      </w:r>
      <w:r w:rsidRPr="007C17A6">
        <w:rPr>
          <w:rFonts w:ascii="Times New Roman" w:hAnsi="Times New Roman" w:cs="Times New Roman"/>
          <w:color w:val="000000" w:themeColor="text1"/>
          <w:sz w:val="24"/>
          <w:szCs w:val="24"/>
        </w:rPr>
        <w:t xml:space="preserve"> connections between areas (thus omitting the ‘jumping’ links) ran into an under-activation problem, precisely because of the same feature (</w:t>
      </w:r>
      <w:r w:rsidRPr="007C17A6">
        <w:rPr>
          <w:rFonts w:ascii="Times New Roman" w:hAnsi="Times New Roman" w:cs="Times New Roman"/>
          <w:noProof/>
          <w:color w:val="000000" w:themeColor="text1"/>
          <w:sz w:val="24"/>
          <w:szCs w:val="24"/>
        </w:rPr>
        <w:t>i.e.</w:t>
      </w:r>
      <w:r w:rsidRPr="007C17A6">
        <w:rPr>
          <w:rFonts w:ascii="Times New Roman" w:hAnsi="Times New Roman" w:cs="Times New Roman"/>
          <w:color w:val="000000" w:themeColor="text1"/>
          <w:sz w:val="24"/>
          <w:szCs w:val="24"/>
        </w:rPr>
        <w:t xml:space="preserve"> that spiking neurons lose their activity immediately). Thus, only the combined improvement of neuroanatomical (jumping connections) and neurophysiological (spiking) realism led to a functional network, which </w:t>
      </w:r>
      <w:r w:rsidRPr="007C17A6">
        <w:rPr>
          <w:rFonts w:ascii="Times New Roman" w:hAnsi="Times New Roman" w:cs="Times New Roman"/>
          <w:noProof/>
          <w:color w:val="000000" w:themeColor="text1"/>
          <w:sz w:val="24"/>
          <w:szCs w:val="24"/>
        </w:rPr>
        <w:t>largely</w:t>
      </w:r>
      <w:r w:rsidRPr="007C17A6">
        <w:rPr>
          <w:rFonts w:ascii="Times New Roman" w:hAnsi="Times New Roman" w:cs="Times New Roman"/>
          <w:color w:val="000000" w:themeColor="text1"/>
          <w:sz w:val="24"/>
          <w:szCs w:val="24"/>
        </w:rPr>
        <w:t xml:space="preserve"> confirms conclusions formerly proposed </w:t>
      </w:r>
      <w:r w:rsidRPr="007C17A6">
        <w:rPr>
          <w:rFonts w:ascii="Times New Roman" w:hAnsi="Times New Roman" w:cs="Times New Roman"/>
          <w:noProof/>
          <w:color w:val="000000" w:themeColor="text1"/>
          <w:sz w:val="24"/>
          <w:szCs w:val="24"/>
        </w:rPr>
        <w:t>on the basis of</w:t>
      </w:r>
      <w:r w:rsidRPr="007C17A6">
        <w:rPr>
          <w:rFonts w:ascii="Times New Roman" w:hAnsi="Times New Roman" w:cs="Times New Roman"/>
          <w:color w:val="000000" w:themeColor="text1"/>
          <w:sz w:val="24"/>
          <w:szCs w:val="24"/>
        </w:rPr>
        <w:t xml:space="preserve"> less realistic architectures. </w:t>
      </w:r>
      <w:r w:rsidRPr="007C17A6">
        <w:rPr>
          <w:rFonts w:ascii="Times New Roman" w:hAnsi="Times New Roman" w:cs="Times New Roman"/>
          <w:color w:val="000000" w:themeColor="text1"/>
          <w:sz w:val="24"/>
          <w:szCs w:val="24"/>
          <w:lang w:val="en-GB" w:eastAsia="zh-CN"/>
        </w:rPr>
        <w:t xml:space="preserve">Incorporating significant biological detail into networks may be essential for obtaining a better understanding of the complex cortical mechanisms underlying semantic processing. </w:t>
      </w:r>
      <w:r w:rsidRPr="007C17A6">
        <w:rPr>
          <w:rFonts w:ascii="Times New Roman" w:hAnsi="Times New Roman" w:cs="Times New Roman"/>
          <w:sz w:val="24"/>
          <w:szCs w:val="24"/>
          <w:lang w:val="en-GB" w:eastAsia="zh-CN"/>
        </w:rPr>
        <w:t xml:space="preserve">Indeed, recent </w:t>
      </w:r>
      <w:r w:rsidRPr="007C17A6">
        <w:rPr>
          <w:rFonts w:ascii="Times New Roman" w:hAnsi="Times New Roman" w:cs="Times New Roman"/>
          <w:noProof/>
          <w:sz w:val="24"/>
          <w:szCs w:val="24"/>
          <w:lang w:val="en-GB" w:eastAsia="zh-CN"/>
        </w:rPr>
        <w:t>mode</w:t>
      </w:r>
      <w:r w:rsidR="0052370F" w:rsidRPr="007C17A6">
        <w:rPr>
          <w:rFonts w:ascii="Times New Roman" w:hAnsi="Times New Roman" w:cs="Times New Roman"/>
          <w:noProof/>
          <w:sz w:val="24"/>
          <w:szCs w:val="24"/>
          <w:lang w:val="en-GB" w:eastAsia="zh-CN"/>
        </w:rPr>
        <w:t>l</w:t>
      </w:r>
      <w:r w:rsidRPr="007C17A6">
        <w:rPr>
          <w:rFonts w:ascii="Times New Roman" w:hAnsi="Times New Roman" w:cs="Times New Roman"/>
          <w:noProof/>
          <w:sz w:val="24"/>
          <w:szCs w:val="24"/>
          <w:lang w:val="en-GB" w:eastAsia="zh-CN"/>
        </w:rPr>
        <w:t>ling</w:t>
      </w:r>
      <w:r w:rsidRPr="007C17A6">
        <w:rPr>
          <w:rFonts w:ascii="Times New Roman" w:hAnsi="Times New Roman" w:cs="Times New Roman"/>
          <w:sz w:val="24"/>
          <w:szCs w:val="24"/>
          <w:lang w:val="en-GB" w:eastAsia="zh-CN"/>
        </w:rPr>
        <w:t xml:space="preserve"> results suggest that large-scale synchronous spiking within cell assembly circuits, also observed here, may be </w:t>
      </w:r>
      <w:r w:rsidRPr="007C17A6">
        <w:rPr>
          <w:rFonts w:ascii="Times New Roman" w:hAnsi="Times New Roman" w:cs="Times New Roman"/>
          <w:noProof/>
          <w:sz w:val="24"/>
          <w:szCs w:val="24"/>
          <w:lang w:val="en-GB" w:eastAsia="zh-CN"/>
        </w:rPr>
        <w:t>important</w:t>
      </w:r>
      <w:r w:rsidRPr="007C17A6">
        <w:rPr>
          <w:rFonts w:ascii="Times New Roman" w:hAnsi="Times New Roman" w:cs="Times New Roman"/>
          <w:sz w:val="24"/>
          <w:szCs w:val="24"/>
          <w:lang w:val="en-GB" w:eastAsia="zh-CN"/>
        </w:rPr>
        <w:t xml:space="preserve"> for the binding of form to meaning during word learning and comprehension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"10.3389/fncom.2016.00145", "ISSN" : "1662-5188", "PMID" : "28149276", "author" : [ { "dropping-particle" : "", "family" : "Garagnani", "given" : "Max", "non-dropping-particle" : "", "parse-names" : false, "suffix" : "" }, { "dropping-particle" : "", "family" : "Lucchese", "given" : "Guglielmo", "non-dropping-particle" : "", "parse-names" : false, "suffix" : "" }, { "dropping-particle" : "", "family" : "Tomasello", "given" : "Rosario",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"Frontiers in Computational Neuroscience", "id" : "ITEM-1", "issue" : "January", "issued" : { "date-parts" : [ [ "2017" ] ] }, "page" : "1-19", "title" : "A Spiking Neurocomputational Model of High-Frequency Oscillatory Brain Responses to Words and Pseudowords", "type" : "article-journal", "volume" : "10" }, "uris" : [ "http://www.mendeley.com/documents/?uuid=26750ad4-228d-4458-a3cd-c12ae2868f3b" ] } ], "mendeley" : { "formattedCitation" : "(Garagnani et al., 2017)", "plainTextFormattedCitation" : "(Garagnani et al., 2017)", "previouslyFormattedCitation" : "(Garagnani et al., 2017)" }, "properties" : {  }, "schema" : "https://github.com/citation-style-language/schema/raw/master/csl-citation.json" }</w:instrText>
      </w:r>
      <w:r w:rsidRPr="007C17A6">
        <w:rPr>
          <w:rFonts w:ascii="Times New Roman" w:hAnsi="Times New Roman" w:cs="Times New Roman"/>
        </w:rPr>
        <w:fldChar w:fldCharType="separate"/>
      </w:r>
      <w:bookmarkStart w:id="161" w:name="__Fieldmark__1916_1687356023"/>
      <w:bookmarkStart w:id="162" w:name="__Fieldmark__2223_531023477"/>
      <w:bookmarkStart w:id="163" w:name="__Fieldmark__1610_2073936654"/>
      <w:r w:rsidR="0096169A" w:rsidRPr="007C17A6">
        <w:rPr>
          <w:rFonts w:ascii="Times New Roman" w:hAnsi="Times New Roman" w:cs="Times New Roman"/>
          <w:noProof/>
          <w:sz w:val="24"/>
          <w:szCs w:val="24"/>
          <w:lang w:val="en-GB" w:eastAsia="zh-CN"/>
        </w:rPr>
        <w:t>(Garagnani et al., 2017)</w:t>
      </w:r>
      <w:r w:rsidRPr="007C17A6">
        <w:rPr>
          <w:rFonts w:ascii="Times New Roman" w:hAnsi="Times New Roman" w:cs="Times New Roman"/>
        </w:rPr>
        <w:fldChar w:fldCharType="end"/>
      </w:r>
      <w:bookmarkEnd w:id="161"/>
      <w:bookmarkEnd w:id="162"/>
      <w:bookmarkEnd w:id="163"/>
      <w:r w:rsidRPr="007C17A6">
        <w:rPr>
          <w:rFonts w:ascii="Times New Roman" w:hAnsi="Times New Roman" w:cs="Times New Roman"/>
          <w:sz w:val="24"/>
          <w:szCs w:val="24"/>
          <w:lang w:val="en-GB" w:eastAsia="zh-CN"/>
        </w:rPr>
        <w:t>.</w:t>
      </w:r>
    </w:p>
    <w:p w14:paraId="5E263224" w14:textId="77777777" w:rsidR="007A7615" w:rsidRPr="007C17A6" w:rsidRDefault="007A7615" w:rsidP="0077421C">
      <w:pPr>
        <w:spacing w:before="240" w:line="240" w:lineRule="auto"/>
        <w:contextualSpacing/>
        <w:jc w:val="both"/>
        <w:rPr>
          <w:rFonts w:ascii="Times New Roman" w:hAnsi="Times New Roman" w:cs="Times New Roman"/>
          <w:sz w:val="24"/>
          <w:szCs w:val="24"/>
          <w:lang w:val="en-GB" w:eastAsia="zh-CN"/>
        </w:rPr>
      </w:pPr>
    </w:p>
    <w:p w14:paraId="0E332926" w14:textId="11C544A9" w:rsidR="007A7615" w:rsidRPr="007C17A6" w:rsidRDefault="007A7615" w:rsidP="0077421C">
      <w:pPr>
        <w:spacing w:before="240" w:line="240" w:lineRule="auto"/>
        <w:contextualSpacing/>
        <w:jc w:val="both"/>
        <w:rPr>
          <w:rFonts w:ascii="Times New Roman" w:hAnsi="Times New Roman" w:cs="Times New Roman"/>
        </w:rPr>
      </w:pPr>
      <w:r w:rsidRPr="007C17A6">
        <w:rPr>
          <w:rFonts w:ascii="Times New Roman" w:hAnsi="Times New Roman" w:cs="Times New Roman"/>
          <w:sz w:val="24"/>
          <w:szCs w:val="24"/>
          <w:lang w:val="en-GB" w:eastAsia="zh-CN"/>
        </w:rPr>
        <w:t xml:space="preserve">In summary, the comparison of less and more biologically constrained networks showed that </w:t>
      </w:r>
      <w:r w:rsidRPr="007C17A6">
        <w:rPr>
          <w:rFonts w:ascii="Times New Roman" w:hAnsi="Times New Roman" w:cs="Times New Roman"/>
          <w:noProof/>
          <w:sz w:val="24"/>
          <w:szCs w:val="24"/>
          <w:lang w:val="en-GB" w:eastAsia="zh-CN"/>
        </w:rPr>
        <w:t>improving</w:t>
      </w:r>
      <w:r w:rsidRPr="007C17A6">
        <w:rPr>
          <w:rFonts w:ascii="Times New Roman" w:hAnsi="Times New Roman" w:cs="Times New Roman"/>
          <w:sz w:val="24"/>
          <w:szCs w:val="24"/>
          <w:lang w:val="en-GB" w:eastAsia="zh-CN"/>
        </w:rPr>
        <w:t xml:space="preserve"> the degree of realism does not always help. Moving from graded-response to spiking neurons alone renders an underactive network with little perspective on modelling semantic cognition, as </w:t>
      </w:r>
      <w:r w:rsidR="00C74FBB" w:rsidRPr="007C17A6">
        <w:rPr>
          <w:rFonts w:ascii="Times New Roman" w:hAnsi="Times New Roman" w:cs="Times New Roman"/>
          <w:sz w:val="24"/>
          <w:szCs w:val="24"/>
          <w:lang w:val="en-GB" w:eastAsia="zh-CN"/>
        </w:rPr>
        <w:t xml:space="preserve">the </w:t>
      </w:r>
      <w:r w:rsidRPr="007C17A6">
        <w:rPr>
          <w:rFonts w:ascii="Times New Roman" w:hAnsi="Times New Roman" w:cs="Times New Roman"/>
          <w:noProof/>
          <w:sz w:val="24"/>
          <w:szCs w:val="24"/>
          <w:lang w:val="en-GB" w:eastAsia="zh-CN"/>
        </w:rPr>
        <w:t>addition</w:t>
      </w:r>
      <w:r w:rsidRPr="007C17A6">
        <w:rPr>
          <w:rFonts w:ascii="Times New Roman" w:hAnsi="Times New Roman" w:cs="Times New Roman"/>
          <w:sz w:val="24"/>
          <w:szCs w:val="24"/>
          <w:lang w:val="en-GB" w:eastAsia="zh-CN"/>
        </w:rPr>
        <w:t xml:space="preserve"> of a more detailed, elaborate and realistic connectivity structure on its own produces an o</w:t>
      </w:r>
      <w:r w:rsidR="00A81FE9" w:rsidRPr="007C17A6">
        <w:rPr>
          <w:rFonts w:ascii="Times New Roman" w:hAnsi="Times New Roman" w:cs="Times New Roman"/>
          <w:sz w:val="24"/>
          <w:szCs w:val="24"/>
          <w:lang w:val="en-GB" w:eastAsia="zh-CN"/>
        </w:rPr>
        <w:t xml:space="preserve">veractive and thus, once again, </w:t>
      </w:r>
      <w:r w:rsidRPr="007C17A6">
        <w:rPr>
          <w:rFonts w:ascii="Times New Roman" w:hAnsi="Times New Roman" w:cs="Times New Roman"/>
          <w:sz w:val="24"/>
          <w:szCs w:val="24"/>
          <w:lang w:val="en-GB" w:eastAsia="zh-CN"/>
        </w:rPr>
        <w:t xml:space="preserve">dysfunctional network. Only the parallel improvement on </w:t>
      </w:r>
      <w:r w:rsidR="00500D7B" w:rsidRPr="007C17A6">
        <w:rPr>
          <w:rFonts w:ascii="Times New Roman" w:hAnsi="Times New Roman" w:cs="Times New Roman"/>
          <w:sz w:val="24"/>
          <w:szCs w:val="24"/>
          <w:lang w:val="en-GB" w:eastAsia="zh-CN"/>
        </w:rPr>
        <w:t>structural (anatomical) and functional (</w:t>
      </w:r>
      <w:r w:rsidRPr="007C17A6">
        <w:rPr>
          <w:rFonts w:ascii="Times New Roman" w:hAnsi="Times New Roman" w:cs="Times New Roman"/>
          <w:sz w:val="24"/>
          <w:szCs w:val="24"/>
          <w:lang w:val="en-GB" w:eastAsia="zh-CN"/>
        </w:rPr>
        <w:t>physiological</w:t>
      </w:r>
      <w:r w:rsidR="00500D7B" w:rsidRPr="007C17A6">
        <w:rPr>
          <w:rFonts w:ascii="Times New Roman" w:hAnsi="Times New Roman" w:cs="Times New Roman"/>
          <w:sz w:val="24"/>
          <w:szCs w:val="24"/>
          <w:lang w:val="en-GB" w:eastAsia="zh-CN"/>
        </w:rPr>
        <w:t>)</w:t>
      </w:r>
      <w:r w:rsidRPr="007C17A6">
        <w:rPr>
          <w:rFonts w:ascii="Times New Roman" w:hAnsi="Times New Roman" w:cs="Times New Roman"/>
          <w:sz w:val="24"/>
          <w:szCs w:val="24"/>
          <w:lang w:val="en-GB" w:eastAsia="zh-CN"/>
        </w:rPr>
        <w:t xml:space="preserve"> </w:t>
      </w:r>
      <w:r w:rsidR="00500D7B" w:rsidRPr="007C17A6">
        <w:rPr>
          <w:rFonts w:ascii="Times New Roman" w:hAnsi="Times New Roman" w:cs="Times New Roman"/>
          <w:sz w:val="24"/>
          <w:szCs w:val="24"/>
          <w:lang w:val="en-GB" w:eastAsia="zh-CN"/>
        </w:rPr>
        <w:t>dimensions, that is, adding jumping links and spiking neurons, led to a functional network once again, which could confirm results from the earlier simulations obtained from the next-</w:t>
      </w:r>
      <w:r w:rsidR="005C0429" w:rsidRPr="007C17A6">
        <w:rPr>
          <w:rFonts w:ascii="Times New Roman" w:hAnsi="Times New Roman" w:cs="Times New Roman"/>
          <w:sz w:val="24"/>
          <w:szCs w:val="24"/>
          <w:lang w:val="en-GB" w:eastAsia="zh-CN"/>
        </w:rPr>
        <w:t>neighbour</w:t>
      </w:r>
      <w:r w:rsidR="00500D7B" w:rsidRPr="007C17A6">
        <w:rPr>
          <w:rFonts w:ascii="Times New Roman" w:hAnsi="Times New Roman" w:cs="Times New Roman"/>
          <w:sz w:val="24"/>
          <w:szCs w:val="24"/>
          <w:lang w:val="en-GB" w:eastAsia="zh-CN"/>
        </w:rPr>
        <w:t>-connectivity and mean-field network, but provides a simulation at a more brain-constrained and therefore ‘more realistic’ level.</w:t>
      </w:r>
    </w:p>
    <w:p w14:paraId="02A52F54" w14:textId="77777777" w:rsidR="00A838DC" w:rsidRPr="007C17A6" w:rsidRDefault="00E5421A" w:rsidP="00E740D6">
      <w:pPr>
        <w:pStyle w:val="Heading2"/>
        <w:spacing w:before="120" w:after="120" w:line="240" w:lineRule="auto"/>
        <w:contextualSpacing/>
        <w:rPr>
          <w:rFonts w:ascii="Times New Roman" w:hAnsi="Times New Roman" w:cs="Times New Roman"/>
          <w:b/>
          <w:color w:val="00000A"/>
          <w:sz w:val="24"/>
          <w:szCs w:val="24"/>
          <w:lang w:eastAsia="zh-CN"/>
        </w:rPr>
      </w:pPr>
      <w:r w:rsidRPr="007C17A6">
        <w:rPr>
          <w:rFonts w:ascii="Times New Roman" w:hAnsi="Times New Roman" w:cs="Times New Roman"/>
          <w:b/>
          <w:noProof/>
          <w:color w:val="00000A"/>
          <w:sz w:val="24"/>
          <w:szCs w:val="24"/>
          <w:lang w:eastAsia="zh-CN"/>
        </w:rPr>
        <w:t>Emergence</w:t>
      </w:r>
      <w:r w:rsidRPr="007C17A6">
        <w:rPr>
          <w:rFonts w:ascii="Times New Roman" w:hAnsi="Times New Roman" w:cs="Times New Roman"/>
          <w:b/>
          <w:color w:val="00000A"/>
          <w:sz w:val="24"/>
          <w:szCs w:val="24"/>
          <w:lang w:eastAsia="zh-CN"/>
        </w:rPr>
        <w:t xml:space="preserve"> of distributed symbolic circuits</w:t>
      </w:r>
    </w:p>
    <w:p w14:paraId="564C4813" w14:textId="316D7C8C" w:rsidR="001C3C6B" w:rsidRPr="007C17A6" w:rsidRDefault="00E5421A" w:rsidP="0077421C">
      <w:pPr>
        <w:spacing w:before="120" w:after="120" w:line="240" w:lineRule="auto"/>
        <w:contextualSpacing/>
        <w:jc w:val="both"/>
        <w:rPr>
          <w:rFonts w:ascii="Times New Roman" w:eastAsia="Times New Roman" w:hAnsi="Times New Roman" w:cs="Times New Roman"/>
          <w:color w:val="auto"/>
          <w:sz w:val="24"/>
          <w:szCs w:val="24"/>
          <w:lang w:val="en-GB"/>
        </w:rPr>
      </w:pPr>
      <w:r w:rsidRPr="007C17A6">
        <w:rPr>
          <w:rFonts w:ascii="Times New Roman" w:hAnsi="Times New Roman" w:cs="Times New Roman"/>
          <w:color w:val="000000" w:themeColor="text1"/>
          <w:sz w:val="24"/>
          <w:szCs w:val="24"/>
          <w:lang w:val="en-GB" w:eastAsia="zh-CN"/>
        </w:rPr>
        <w:t xml:space="preserve">The present model imitates </w:t>
      </w:r>
      <w:r w:rsidRPr="007C17A6">
        <w:rPr>
          <w:rFonts w:ascii="Times New Roman" w:hAnsi="Times New Roman" w:cs="Times New Roman"/>
          <w:noProof/>
          <w:color w:val="000000" w:themeColor="text1"/>
          <w:sz w:val="24"/>
          <w:szCs w:val="24"/>
          <w:lang w:val="en-GB" w:eastAsia="zh-CN"/>
        </w:rPr>
        <w:t>elementary</w:t>
      </w:r>
      <w:r w:rsidRPr="007C17A6">
        <w:rPr>
          <w:rFonts w:ascii="Times New Roman" w:hAnsi="Times New Roman" w:cs="Times New Roman"/>
          <w:color w:val="000000" w:themeColor="text1"/>
          <w:sz w:val="24"/>
          <w:szCs w:val="24"/>
          <w:lang w:val="en-GB" w:eastAsia="zh-CN"/>
        </w:rPr>
        <w:t xml:space="preserve"> processes of semantic learning, where word-forms </w:t>
      </w:r>
      <w:r w:rsidRPr="007C17A6">
        <w:rPr>
          <w:rFonts w:ascii="Times New Roman" w:hAnsi="Times New Roman" w:cs="Times New Roman"/>
          <w:noProof/>
          <w:color w:val="000000" w:themeColor="text1"/>
          <w:sz w:val="24"/>
          <w:szCs w:val="24"/>
          <w:lang w:val="en-GB" w:eastAsia="zh-CN"/>
        </w:rPr>
        <w:t>are presented</w:t>
      </w:r>
      <w:r w:rsidRPr="007C17A6">
        <w:rPr>
          <w:rFonts w:ascii="Times New Roman" w:hAnsi="Times New Roman" w:cs="Times New Roman"/>
          <w:color w:val="000000" w:themeColor="text1"/>
          <w:sz w:val="24"/>
          <w:szCs w:val="24"/>
          <w:lang w:val="en-GB" w:eastAsia="zh-CN"/>
        </w:rPr>
        <w:t xml:space="preserve"> in the context of </w:t>
      </w:r>
      <w:r w:rsidRPr="007C17A6">
        <w:rPr>
          <w:rFonts w:ascii="Times New Roman" w:hAnsi="Times New Roman" w:cs="Times New Roman"/>
          <w:noProof/>
          <w:color w:val="000000" w:themeColor="text1"/>
          <w:sz w:val="24"/>
          <w:szCs w:val="24"/>
          <w:lang w:val="en-GB" w:eastAsia="zh-CN"/>
        </w:rPr>
        <w:t>object</w:t>
      </w:r>
      <w:r w:rsidRPr="007C17A6">
        <w:rPr>
          <w:rFonts w:ascii="Times New Roman" w:hAnsi="Times New Roman" w:cs="Times New Roman"/>
          <w:color w:val="000000" w:themeColor="text1"/>
          <w:sz w:val="24"/>
          <w:szCs w:val="24"/>
          <w:lang w:val="en-GB" w:eastAsia="zh-CN"/>
        </w:rPr>
        <w:t xml:space="preserve">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"10.1037/a0016134", "ISBN" : "1939-0599 (Electronic)\\r0012-1649 (Linking)", "ISSN" : "1939-0599", "PMID" : "19899918", "abstract" : "In everyday word learning words are only sometimes heard in the presence of their referent, making the acquisition of novel words a particularly challenging task. The current study investigated whether children (18-month-olds who are novice word learners) can track the statistics of co-occurrence between words and objects to learn novel mappings in a stochastic environment. Infants were briefly trained on novel word-novel object pairs with variable degrees of co-occurrence: Words were either paired reliably with 1 referent or stochastically paired with 2 different referents with varying probabilities. Infants were sensitive to the co-occurrence statistics between words and referents, tracking not just the strongest available contingency but also low-frequency information. The statistical strength of the word-referent mapping may also modulate real-time online lexical processing in infants. Infants are thus able to track stochastic relationships between words and referents in the process of learning novel words.", "author" : [ { "dropping-particle" : "", "family" : "Vouloumanos", "given" : "Athena", "non-dropping-particle" : "", "parse-names" : false, "suffix" : "" }, { "dropping-particle" : "", "family" : "Werker", "given" : "Janet F", "non-dropping-particle" : "", "parse-names" : false, "suffix" : "" } ], "container-title" : "Developmental psychology", "edition" : "2009/11/11", "id" : "ITEM-1", "issue" : "6", "issued" : { "date-parts" : [ [ "2009" ] ] }, "language" : "eng", "note" : "Vouloumanos, Athena\nWerker, Janet F\nCanadian Institutes of Health Research/Canada\nDev Psychol. 2009 Nov;45(6):1611-7. doi: 10.1037/a0016134.", "page" : "1611-7", "title" : "Infants' learning of novel words in a stochastic environment.", "type" : "article-journal", "volume" : "45" }, "uris" : [ "http://www.mendeley.com/documents/?uuid=e5881df1-e963-4274-a5de-534dfcfed43c" ] } ], "mendeley" : { "formattedCitation" : "(Vouloumanos and Werker, 2009)", "plainTextFormattedCitation" : "(Vouloumanos and Werker, 2009)", "previouslyFormattedCitation" : "(Vouloumanos and Werker, 2009)" }, "properties" : {  }, "schema" : "https://github.com/citation-style-language/schema/raw/master/csl-citation.json" }</w:instrText>
      </w:r>
      <w:r w:rsidRPr="007C17A6">
        <w:rPr>
          <w:rFonts w:ascii="Times New Roman" w:hAnsi="Times New Roman" w:cs="Times New Roman"/>
        </w:rPr>
        <w:fldChar w:fldCharType="separate"/>
      </w:r>
      <w:bookmarkStart w:id="164" w:name="__Fieldmark__1928_1687356023"/>
      <w:bookmarkStart w:id="165" w:name="__Fieldmark__2232_531023477"/>
      <w:bookmarkStart w:id="166" w:name="__Fieldmark__1620_2073936654"/>
      <w:r w:rsidR="00C00A10" w:rsidRPr="007C17A6">
        <w:rPr>
          <w:rFonts w:ascii="Times New Roman" w:hAnsi="Times New Roman" w:cs="Times New Roman"/>
          <w:noProof/>
          <w:color w:val="000000" w:themeColor="text1"/>
          <w:sz w:val="24"/>
          <w:szCs w:val="24"/>
          <w:lang w:val="en-GB" w:eastAsia="zh-CN"/>
        </w:rPr>
        <w:t>(Vouloumanos and Werker, 2009)</w:t>
      </w:r>
      <w:r w:rsidRPr="007C17A6">
        <w:rPr>
          <w:rFonts w:ascii="Times New Roman" w:hAnsi="Times New Roman" w:cs="Times New Roman"/>
        </w:rPr>
        <w:fldChar w:fldCharType="end"/>
      </w:r>
      <w:bookmarkEnd w:id="164"/>
      <w:bookmarkEnd w:id="165"/>
      <w:bookmarkEnd w:id="166"/>
      <w:r w:rsidRPr="007C17A6">
        <w:rPr>
          <w:rFonts w:ascii="Times New Roman" w:hAnsi="Times New Roman" w:cs="Times New Roman"/>
          <w:color w:val="000000" w:themeColor="text1"/>
          <w:sz w:val="24"/>
          <w:szCs w:val="24"/>
          <w:lang w:val="en-GB" w:eastAsia="zh-CN"/>
        </w:rPr>
        <w:t xml:space="preserve"> or action information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"10.1017/S0305000900011430", "ISBN" : "0305-0009 (Print); 1469-7602 (Electronic)", "ISSN" : "0305-0009", "PMID" : "1527205", "abstract" : "Two studies of verb learning are reported. The focus of both studies was on children in their second year of life learning verbs in various pragmatic contexts. Of particular interest was the comparison of ostensive contexts--in which word and referent were simultaneously present in the child's perceptual field--to non-ostensive contexts. In a naturalistic study of 24 children at 1;3 and 1;9, it was found that mothers modelled verbs for their children most often BEFORE the referent action actually occurred. Over 60% of maternal verbs were used to refer to actions that mothers wished children to perform or that they were anticipating their performing (IMPENDING actions). Some verbs were also used to refer to current actions (ONGOING actions) or actions that had just been completed (COMPLETED actions). Children responded with comprehension most often to impending models. Impending and completed models, but not ongoing models, were correlated with children's verb vocabularies at 1;9. The second study was a lexical training study of 48 two-year-olds. Children learned to produce a novel verb best when it was modelled in the impending condition. They learned to comprehend it equally well in the impending and completed conditions. Children showed no signs of superior learning in the ostensive (ongoing) learning context. Results of the two studies are discussed in terms of the different learning processes involved in acquiring nouns and verbs, and, more broadly, in terms of a social-pragmatic view of language acquisition in which the ostensive teaching paradigm is but one of many contexts in which children learn to establish a joint attentional focus with mature language users.", "author" : [ { "dropping-particle" : "", "family" : "Tomasello", "given" : "Michael", "non-dropping-particle" : "", "parse-names" : false, "suffix" : "" }, { "dropping-particle" : "", "family" : "Kruger", "given" : "Ann Cale", "non-dropping-particle" : "", "parse-names" : false, "suffix" : "" } ], "container-title" : "Journal of child language", "id" : "ITEM-1", "issue" : "2", "issued" : { "date-parts" : [ [ "1992" ] ] }, "note" : "Reprint Status:  In File", "page" : "311-333", "title" : "Joint attention on actions: acquiring verbs in ostensive and non-ostensive contexts.", "type" : "article-journal", "volume" : "19" }, "uris" : [ "http://www.mendeley.com/documents/?uuid=70cced4f-3157-467c-84b8-87444866ec9a" ] } ], "mendeley" : { "formattedCitation" : "(Tomasello and Kruger, 1992)", "plainTextFormattedCitation" : "(Tomasello and Kruger, 1992)", "previouslyFormattedCitation" : "(Tomasello and Kruger, 1992)" }, "properties" : {  }, "schema" : "https://github.com/citation-style-language/schema/raw/master/csl-citation.json" }</w:instrText>
      </w:r>
      <w:r w:rsidRPr="007C17A6">
        <w:rPr>
          <w:rFonts w:ascii="Times New Roman" w:hAnsi="Times New Roman" w:cs="Times New Roman"/>
        </w:rPr>
        <w:fldChar w:fldCharType="separate"/>
      </w:r>
      <w:bookmarkStart w:id="167" w:name="__Fieldmark__1937_1687356023"/>
      <w:bookmarkStart w:id="168" w:name="__Fieldmark__2145_582625014"/>
      <w:bookmarkStart w:id="169" w:name="__Fieldmark__2237_531023477"/>
      <w:bookmarkStart w:id="170" w:name="__Fieldmark__1627_2073936654"/>
      <w:r w:rsidR="00C00A10" w:rsidRPr="007C17A6">
        <w:rPr>
          <w:rFonts w:ascii="Times New Roman" w:hAnsi="Times New Roman" w:cs="Times New Roman"/>
          <w:noProof/>
          <w:color w:val="000000" w:themeColor="text1"/>
          <w:sz w:val="24"/>
          <w:szCs w:val="24"/>
          <w:lang w:val="en-GB" w:eastAsia="zh-CN"/>
        </w:rPr>
        <w:t>(Tomasello and Kruger, 1992)</w:t>
      </w:r>
      <w:r w:rsidRPr="007C17A6">
        <w:rPr>
          <w:rFonts w:ascii="Times New Roman" w:hAnsi="Times New Roman" w:cs="Times New Roman"/>
        </w:rPr>
        <w:fldChar w:fldCharType="end"/>
      </w:r>
      <w:bookmarkEnd w:id="167"/>
      <w:bookmarkEnd w:id="168"/>
      <w:bookmarkEnd w:id="169"/>
      <w:bookmarkEnd w:id="170"/>
      <w:r w:rsidRPr="007C17A6">
        <w:rPr>
          <w:rFonts w:ascii="Times New Roman" w:hAnsi="Times New Roman" w:cs="Times New Roman"/>
          <w:color w:val="000000" w:themeColor="text1"/>
          <w:sz w:val="24"/>
          <w:szCs w:val="24"/>
          <w:lang w:val="en-GB" w:eastAsia="zh-CN"/>
        </w:rPr>
        <w:t xml:space="preserve">. In our model, the co-occurrence of objects or actions with word-forms </w:t>
      </w:r>
      <w:r w:rsidRPr="007C17A6">
        <w:rPr>
          <w:rFonts w:ascii="Times New Roman" w:hAnsi="Times New Roman" w:cs="Times New Roman"/>
          <w:noProof/>
          <w:color w:val="000000" w:themeColor="text1"/>
          <w:sz w:val="24"/>
          <w:szCs w:val="24"/>
          <w:lang w:val="en-GB" w:eastAsia="zh-CN"/>
        </w:rPr>
        <w:t>was implemented</w:t>
      </w:r>
      <w:r w:rsidRPr="007C17A6">
        <w:rPr>
          <w:rFonts w:ascii="Times New Roman" w:hAnsi="Times New Roman" w:cs="Times New Roman"/>
          <w:color w:val="000000" w:themeColor="text1"/>
          <w:sz w:val="24"/>
          <w:szCs w:val="24"/>
          <w:lang w:val="en-GB" w:eastAsia="zh-CN"/>
        </w:rPr>
        <w:t xml:space="preserve"> as correlated neuronal activation patterns in the mo</w:t>
      </w:r>
      <w:r w:rsidR="00D54BE4" w:rsidRPr="007C17A6">
        <w:rPr>
          <w:rFonts w:ascii="Times New Roman" w:hAnsi="Times New Roman" w:cs="Times New Roman"/>
          <w:color w:val="000000" w:themeColor="text1"/>
          <w:sz w:val="24"/>
          <w:szCs w:val="24"/>
          <w:lang w:val="en-GB" w:eastAsia="zh-CN"/>
        </w:rPr>
        <w:t>del’s primary articulatory (M1i) and</w:t>
      </w:r>
      <w:r w:rsidRPr="007C17A6">
        <w:rPr>
          <w:rFonts w:ascii="Times New Roman" w:hAnsi="Times New Roman" w:cs="Times New Roman"/>
          <w:color w:val="000000" w:themeColor="text1"/>
          <w:sz w:val="24"/>
          <w:szCs w:val="24"/>
          <w:lang w:val="en-GB" w:eastAsia="zh-CN"/>
        </w:rPr>
        <w:t xml:space="preserve"> auditory (A1) along with either dorsolateral motor (M1</w:t>
      </w:r>
      <w:r w:rsidRPr="007C17A6">
        <w:rPr>
          <w:rFonts w:ascii="Times New Roman" w:hAnsi="Times New Roman" w:cs="Times New Roman"/>
          <w:color w:val="000000" w:themeColor="text1"/>
          <w:sz w:val="24"/>
          <w:szCs w:val="24"/>
          <w:vertAlign w:val="subscript"/>
          <w:lang w:val="en-GB"/>
        </w:rPr>
        <w:t>L</w:t>
      </w:r>
      <w:r w:rsidRPr="007C17A6">
        <w:rPr>
          <w:rFonts w:ascii="Times New Roman" w:hAnsi="Times New Roman" w:cs="Times New Roman"/>
          <w:color w:val="000000" w:themeColor="text1"/>
          <w:sz w:val="24"/>
          <w:szCs w:val="24"/>
          <w:lang w:val="en-GB" w:eastAsia="zh-CN"/>
        </w:rPr>
        <w:t xml:space="preserve">) or visual cortex </w:t>
      </w:r>
      <w:r w:rsidRPr="007C17A6">
        <w:rPr>
          <w:rFonts w:ascii="Times New Roman" w:hAnsi="Times New Roman" w:cs="Times New Roman"/>
          <w:color w:val="000000" w:themeColor="text1"/>
          <w:sz w:val="24"/>
          <w:szCs w:val="24"/>
          <w:lang w:val="en-GB" w:eastAsia="zh-CN"/>
        </w:rPr>
        <w:lastRenderedPageBreak/>
        <w:t>(V1). The first significant finding of this study is that such information about the semantic grounding of symbols can be mapped</w:t>
      </w:r>
      <w:r w:rsidR="009C7283" w:rsidRPr="007C17A6">
        <w:rPr>
          <w:rFonts w:ascii="Times New Roman" w:hAnsi="Times New Roman" w:cs="Times New Roman"/>
          <w:color w:val="000000" w:themeColor="text1"/>
          <w:sz w:val="24"/>
          <w:szCs w:val="24"/>
          <w:lang w:val="en-GB" w:eastAsia="zh-CN"/>
        </w:rPr>
        <w:t xml:space="preserve"> reliably onto biologically </w:t>
      </w:r>
      <w:r w:rsidRPr="007C17A6">
        <w:rPr>
          <w:rFonts w:ascii="Times New Roman" w:hAnsi="Times New Roman" w:cs="Times New Roman"/>
          <w:color w:val="000000" w:themeColor="text1"/>
          <w:sz w:val="24"/>
          <w:szCs w:val="24"/>
          <w:lang w:val="en-GB" w:eastAsia="zh-CN"/>
        </w:rPr>
        <w:t xml:space="preserve">constrained associative networks. </w:t>
      </w:r>
      <w:r w:rsidRPr="007C17A6">
        <w:rPr>
          <w:rFonts w:ascii="Times New Roman" w:hAnsi="Times New Roman" w:cs="Times New Roman"/>
          <w:sz w:val="24"/>
          <w:szCs w:val="24"/>
          <w:lang w:val="en-GB" w:eastAsia="zh-CN"/>
        </w:rPr>
        <w:t xml:space="preserve">Each pattern representing the pairing of one specific symbol and one specific action or object led to the formation of a distributed circuit of spiking neurons spread out across several areas of the architecture. Each of these distributed circuits </w:t>
      </w:r>
      <w:r w:rsidRPr="007C17A6">
        <w:rPr>
          <w:rFonts w:ascii="Times New Roman" w:hAnsi="Times New Roman" w:cs="Times New Roman"/>
          <w:color w:val="000000" w:themeColor="text1"/>
          <w:sz w:val="24"/>
          <w:szCs w:val="24"/>
          <w:lang w:val="en-GB" w:eastAsia="zh-CN"/>
        </w:rPr>
        <w:t xml:space="preserve">acted as a coherent functional unit, with its interlinked neurons in sensory, motor and multimodal areas activating together. The formation of each circuit required the spreading of activity across the network and the selective strengthening of a significant number of partaking neurons. Such strengthening was substantial enough so that, after learning, ‘auditory input’ was sufficient to revive the entire circuit, including its articulatory and semantic components. </w:t>
      </w:r>
      <w:r w:rsidR="00E933F5" w:rsidRPr="007C17A6">
        <w:rPr>
          <w:rFonts w:ascii="Times New Roman" w:hAnsi="Times New Roman" w:cs="Times New Roman"/>
          <w:color w:val="000000" w:themeColor="text1"/>
          <w:sz w:val="24"/>
          <w:szCs w:val="24"/>
          <w:lang w:val="en-GB" w:eastAsia="zh-CN"/>
        </w:rPr>
        <w:t xml:space="preserve">By comparing </w:t>
      </w:r>
      <w:r w:rsidR="00E933F5" w:rsidRPr="007C17A6">
        <w:rPr>
          <w:rFonts w:ascii="Times New Roman" w:hAnsi="Times New Roman" w:cs="Times New Roman"/>
          <w:noProof/>
          <w:color w:val="000000" w:themeColor="text1"/>
          <w:sz w:val="24"/>
          <w:szCs w:val="24"/>
          <w:lang w:val="en-GB" w:eastAsia="zh-CN"/>
        </w:rPr>
        <w:t>mean-field</w:t>
      </w:r>
      <w:r w:rsidR="0083572A" w:rsidRPr="007C17A6">
        <w:rPr>
          <w:rFonts w:ascii="Times New Roman" w:hAnsi="Times New Roman" w:cs="Times New Roman"/>
          <w:color w:val="000000" w:themeColor="text1"/>
          <w:sz w:val="24"/>
          <w:szCs w:val="24"/>
          <w:lang w:val="en-GB" w:eastAsia="zh-CN"/>
        </w:rPr>
        <w:t xml:space="preserve"> next-neighbour model and</w:t>
      </w:r>
      <w:r w:rsidR="00E933F5" w:rsidRPr="007C17A6">
        <w:rPr>
          <w:rFonts w:ascii="Times New Roman" w:hAnsi="Times New Roman" w:cs="Times New Roman"/>
          <w:color w:val="000000" w:themeColor="text1"/>
          <w:sz w:val="24"/>
          <w:szCs w:val="24"/>
          <w:lang w:val="en-GB" w:eastAsia="zh-CN"/>
        </w:rPr>
        <w:t xml:space="preserve"> jumping-l</w:t>
      </w:r>
      <w:r w:rsidR="00761CAA" w:rsidRPr="007C17A6">
        <w:rPr>
          <w:rFonts w:ascii="Times New Roman" w:hAnsi="Times New Roman" w:cs="Times New Roman"/>
          <w:color w:val="000000" w:themeColor="text1"/>
          <w:sz w:val="24"/>
          <w:szCs w:val="24"/>
          <w:lang w:val="en-GB" w:eastAsia="zh-CN"/>
        </w:rPr>
        <w:t xml:space="preserve">inks spiking </w:t>
      </w:r>
      <w:r w:rsidR="00761CAA" w:rsidRPr="007C17A6">
        <w:rPr>
          <w:rFonts w:ascii="Times New Roman" w:hAnsi="Times New Roman" w:cs="Times New Roman"/>
          <w:noProof/>
          <w:color w:val="000000" w:themeColor="text1"/>
          <w:sz w:val="24"/>
          <w:szCs w:val="24"/>
          <w:lang w:val="en-GB" w:eastAsia="zh-CN"/>
        </w:rPr>
        <w:t>model</w:t>
      </w:r>
      <w:r w:rsidR="0083572A" w:rsidRPr="007C17A6">
        <w:rPr>
          <w:rFonts w:ascii="Times New Roman" w:hAnsi="Times New Roman" w:cs="Times New Roman"/>
          <w:noProof/>
          <w:color w:val="000000" w:themeColor="text1"/>
          <w:sz w:val="24"/>
          <w:szCs w:val="24"/>
          <w:lang w:val="en-GB" w:eastAsia="zh-CN"/>
        </w:rPr>
        <w:t>,</w:t>
      </w:r>
      <w:r w:rsidR="00761CAA" w:rsidRPr="007C17A6">
        <w:rPr>
          <w:rFonts w:ascii="Times New Roman" w:hAnsi="Times New Roman" w:cs="Times New Roman"/>
          <w:color w:val="000000" w:themeColor="text1"/>
          <w:sz w:val="24"/>
          <w:szCs w:val="24"/>
          <w:lang w:val="en-GB" w:eastAsia="zh-CN"/>
        </w:rPr>
        <w:t xml:space="preserve"> massive</w:t>
      </w:r>
      <w:r w:rsidR="00A51E95" w:rsidRPr="007C17A6">
        <w:rPr>
          <w:rFonts w:ascii="Times New Roman" w:hAnsi="Times New Roman" w:cs="Times New Roman"/>
          <w:color w:val="000000" w:themeColor="text1"/>
          <w:sz w:val="24"/>
          <w:szCs w:val="24"/>
          <w:lang w:val="en-GB" w:eastAsia="zh-CN"/>
        </w:rPr>
        <w:t xml:space="preserve"> changes were</w:t>
      </w:r>
      <w:r w:rsidR="00E933F5" w:rsidRPr="007C17A6">
        <w:rPr>
          <w:rFonts w:ascii="Times New Roman" w:hAnsi="Times New Roman" w:cs="Times New Roman"/>
          <w:color w:val="000000" w:themeColor="text1"/>
          <w:sz w:val="24"/>
          <w:szCs w:val="24"/>
          <w:lang w:val="en-GB" w:eastAsia="zh-CN"/>
        </w:rPr>
        <w:t xml:space="preserve"> revealed in the dynamics of cell assemblies activations </w:t>
      </w:r>
      <w:r w:rsidR="00CA449E" w:rsidRPr="007C17A6">
        <w:rPr>
          <w:rFonts w:ascii="Times New Roman" w:hAnsi="Times New Roman" w:cs="Times New Roman"/>
          <w:color w:val="000000" w:themeColor="text1"/>
          <w:sz w:val="24"/>
          <w:szCs w:val="24"/>
          <w:lang w:val="en-GB" w:eastAsia="zh-CN"/>
        </w:rPr>
        <w:t xml:space="preserve">during auditory word recognition </w:t>
      </w:r>
      <w:r w:rsidR="00E933F5" w:rsidRPr="007C17A6">
        <w:rPr>
          <w:rFonts w:ascii="Times New Roman" w:hAnsi="Times New Roman" w:cs="Times New Roman"/>
          <w:color w:val="000000" w:themeColor="text1"/>
          <w:sz w:val="24"/>
          <w:szCs w:val="24"/>
          <w:lang w:val="en-GB" w:eastAsia="zh-CN"/>
        </w:rPr>
        <w:t xml:space="preserve">(Fig. 3). </w:t>
      </w:r>
      <w:r w:rsidR="001C3C6B" w:rsidRPr="007C17A6">
        <w:rPr>
          <w:rFonts w:ascii="Times New Roman" w:hAnsi="Times New Roman" w:cs="Times New Roman"/>
          <w:noProof/>
          <w:color w:val="000000" w:themeColor="text1"/>
          <w:sz w:val="24"/>
          <w:szCs w:val="24"/>
          <w:lang w:val="en-GB" w:eastAsia="zh-CN"/>
        </w:rPr>
        <w:t xml:space="preserve">Whereas the </w:t>
      </w:r>
      <w:r w:rsidR="00CA449E" w:rsidRPr="007C17A6">
        <w:rPr>
          <w:rFonts w:ascii="Times New Roman" w:hAnsi="Times New Roman" w:cs="Times New Roman"/>
          <w:noProof/>
          <w:color w:val="000000" w:themeColor="text1"/>
          <w:sz w:val="24"/>
          <w:szCs w:val="24"/>
          <w:lang w:val="en-GB" w:eastAsia="zh-CN"/>
        </w:rPr>
        <w:t>mean-field model</w:t>
      </w:r>
      <w:r w:rsidR="001C3C6B" w:rsidRPr="007C17A6">
        <w:rPr>
          <w:rFonts w:ascii="Times New Roman" w:hAnsi="Times New Roman" w:cs="Times New Roman"/>
          <w:noProof/>
          <w:color w:val="000000" w:themeColor="text1"/>
          <w:sz w:val="24"/>
          <w:szCs w:val="24"/>
          <w:lang w:val="en-GB" w:eastAsia="zh-CN"/>
        </w:rPr>
        <w:t xml:space="preserve"> showed serial activation dynamics (with cascade and overlapping activation of the hub areas AT, PF</w:t>
      </w:r>
      <w:r w:rsidR="001C3C6B" w:rsidRPr="007C17A6">
        <w:rPr>
          <w:rFonts w:ascii="Times New Roman" w:hAnsi="Times New Roman" w:cs="Times New Roman"/>
          <w:noProof/>
          <w:color w:val="000000" w:themeColor="text1"/>
          <w:sz w:val="24"/>
          <w:szCs w:val="24"/>
          <w:vertAlign w:val="subscript"/>
          <w:lang w:val="en-GB" w:eastAsia="zh-CN"/>
        </w:rPr>
        <w:t>L</w:t>
      </w:r>
      <w:r w:rsidR="001C3C6B" w:rsidRPr="007C17A6">
        <w:rPr>
          <w:rFonts w:ascii="Times New Roman" w:hAnsi="Times New Roman" w:cs="Times New Roman"/>
          <w:noProof/>
          <w:color w:val="000000" w:themeColor="text1"/>
          <w:sz w:val="24"/>
          <w:szCs w:val="24"/>
          <w:lang w:val="en-GB" w:eastAsia="zh-CN"/>
        </w:rPr>
        <w:t>), the full-fledged three-phase dynamics with perception</w:t>
      </w:r>
      <w:r w:rsidR="00500D7B" w:rsidRPr="007C17A6">
        <w:rPr>
          <w:rFonts w:ascii="Times New Roman" w:hAnsi="Times New Roman" w:cs="Times New Roman"/>
          <w:noProof/>
          <w:color w:val="000000" w:themeColor="text1"/>
          <w:sz w:val="24"/>
          <w:szCs w:val="24"/>
          <w:lang w:val="en-GB" w:eastAsia="zh-CN"/>
        </w:rPr>
        <w:t xml:space="preserve"> (activation of auditory areas)</w:t>
      </w:r>
      <w:r w:rsidR="001C3C6B" w:rsidRPr="007C17A6">
        <w:rPr>
          <w:rFonts w:ascii="Times New Roman" w:hAnsi="Times New Roman" w:cs="Times New Roman"/>
          <w:noProof/>
          <w:color w:val="000000" w:themeColor="text1"/>
          <w:sz w:val="24"/>
          <w:szCs w:val="24"/>
          <w:lang w:val="en-GB" w:eastAsia="zh-CN"/>
        </w:rPr>
        <w:t xml:space="preserve">, ignition </w:t>
      </w:r>
      <w:r w:rsidR="00500D7B" w:rsidRPr="007C17A6">
        <w:rPr>
          <w:rFonts w:ascii="Times New Roman" w:hAnsi="Times New Roman" w:cs="Times New Roman"/>
          <w:noProof/>
          <w:color w:val="000000" w:themeColor="text1"/>
          <w:sz w:val="24"/>
          <w:szCs w:val="24"/>
          <w:lang w:val="en-GB" w:eastAsia="zh-CN"/>
        </w:rPr>
        <w:t xml:space="preserve">(near-simultaneous activation of cell assembly neurons dispersed across wide cortical areas) </w:t>
      </w:r>
      <w:r w:rsidR="001C3C6B" w:rsidRPr="007C17A6">
        <w:rPr>
          <w:rFonts w:ascii="Times New Roman" w:hAnsi="Times New Roman" w:cs="Times New Roman"/>
          <w:noProof/>
          <w:color w:val="000000" w:themeColor="text1"/>
          <w:sz w:val="24"/>
          <w:szCs w:val="24"/>
          <w:lang w:val="en-GB" w:eastAsia="zh-CN"/>
        </w:rPr>
        <w:t xml:space="preserve">and working memory </w:t>
      </w:r>
      <w:r w:rsidR="00500D7B" w:rsidRPr="007C17A6">
        <w:rPr>
          <w:rFonts w:ascii="Times New Roman" w:hAnsi="Times New Roman" w:cs="Times New Roman"/>
          <w:noProof/>
          <w:color w:val="000000" w:themeColor="text1"/>
          <w:sz w:val="24"/>
          <w:szCs w:val="24"/>
          <w:lang w:val="en-GB" w:eastAsia="zh-CN"/>
        </w:rPr>
        <w:t xml:space="preserve">(reverberation of activity in part of the cell assembly) </w:t>
      </w:r>
      <w:r w:rsidR="001C3C6B" w:rsidRPr="007C17A6">
        <w:rPr>
          <w:rFonts w:ascii="Times New Roman" w:hAnsi="Times New Roman" w:cs="Times New Roman"/>
          <w:noProof/>
          <w:color w:val="000000" w:themeColor="text1"/>
          <w:sz w:val="24"/>
          <w:szCs w:val="24"/>
          <w:lang w:val="en-GB" w:eastAsia="zh-CN"/>
        </w:rPr>
        <w:t xml:space="preserve">was only present in the </w:t>
      </w:r>
      <w:r w:rsidR="00CA449E" w:rsidRPr="007C17A6">
        <w:rPr>
          <w:rFonts w:ascii="Times New Roman" w:hAnsi="Times New Roman" w:cs="Times New Roman"/>
          <w:noProof/>
          <w:color w:val="000000" w:themeColor="text1"/>
          <w:sz w:val="24"/>
          <w:szCs w:val="24"/>
          <w:lang w:val="en-GB" w:eastAsia="zh-CN"/>
        </w:rPr>
        <w:t>spiking fully connected model</w:t>
      </w:r>
      <w:r w:rsidR="00C167D5" w:rsidRPr="007C17A6">
        <w:rPr>
          <w:rFonts w:ascii="Times New Roman" w:hAnsi="Times New Roman" w:cs="Times New Roman"/>
          <w:noProof/>
          <w:color w:val="000000" w:themeColor="text1"/>
          <w:sz w:val="24"/>
          <w:szCs w:val="24"/>
          <w:lang w:val="en-GB" w:eastAsia="zh-CN"/>
        </w:rPr>
        <w:t>.</w:t>
      </w:r>
      <w:r w:rsidR="001C3C6B" w:rsidRPr="007C17A6">
        <w:rPr>
          <w:rFonts w:ascii="Times New Roman" w:hAnsi="Times New Roman" w:cs="Times New Roman"/>
          <w:color w:val="000000" w:themeColor="text1"/>
          <w:sz w:val="24"/>
          <w:szCs w:val="24"/>
          <w:lang w:val="en-GB" w:eastAsia="zh-CN"/>
        </w:rPr>
        <w:t xml:space="preserve"> </w:t>
      </w:r>
      <w:r w:rsidR="00C167D5" w:rsidRPr="007C17A6">
        <w:rPr>
          <w:rFonts w:ascii="Times New Roman" w:hAnsi="Times New Roman" w:cs="Times New Roman"/>
          <w:color w:val="000000" w:themeColor="text1"/>
          <w:sz w:val="24"/>
          <w:szCs w:val="24"/>
          <w:lang w:val="en-GB" w:eastAsia="zh-CN"/>
        </w:rPr>
        <w:t>I</w:t>
      </w:r>
      <w:r w:rsidR="00C167D5" w:rsidRPr="007C17A6">
        <w:rPr>
          <w:rFonts w:ascii="Times New Roman" w:hAnsi="Times New Roman" w:cs="Times New Roman"/>
          <w:color w:val="auto"/>
          <w:sz w:val="24"/>
          <w:szCs w:val="24"/>
          <w:lang w:val="en-GB" w:eastAsia="zh-CN"/>
        </w:rPr>
        <w:t xml:space="preserve">ntriguingly, </w:t>
      </w:r>
      <w:r w:rsidR="00C167D5" w:rsidRPr="007C17A6">
        <w:rPr>
          <w:rFonts w:ascii="Times New Roman" w:eastAsia="Times New Roman" w:hAnsi="Times New Roman" w:cs="Times New Roman"/>
          <w:color w:val="auto"/>
          <w:sz w:val="24"/>
          <w:szCs w:val="24"/>
          <w:lang w:val="en-GB"/>
        </w:rPr>
        <w:t xml:space="preserve">after </w:t>
      </w:r>
      <w:r w:rsidR="00500D7B" w:rsidRPr="007C17A6">
        <w:rPr>
          <w:rFonts w:ascii="Times New Roman" w:eastAsia="Times New Roman" w:hAnsi="Times New Roman" w:cs="Times New Roman"/>
          <w:color w:val="auto"/>
          <w:sz w:val="24"/>
          <w:szCs w:val="24"/>
          <w:lang w:val="en-GB"/>
        </w:rPr>
        <w:t>ignition</w:t>
      </w:r>
      <w:r w:rsidR="00C167D5" w:rsidRPr="007C17A6">
        <w:rPr>
          <w:rFonts w:ascii="Times New Roman" w:eastAsia="Times New Roman" w:hAnsi="Times New Roman" w:cs="Times New Roman"/>
          <w:color w:val="auto"/>
          <w:sz w:val="24"/>
          <w:szCs w:val="24"/>
          <w:lang w:val="en-GB"/>
        </w:rPr>
        <w:t>, activity retreats from modality-preferential areas</w:t>
      </w:r>
      <w:r w:rsidR="008D0CC7" w:rsidRPr="007C17A6">
        <w:rPr>
          <w:rFonts w:ascii="Times New Roman" w:eastAsia="Times New Roman" w:hAnsi="Times New Roman" w:cs="Times New Roman"/>
          <w:color w:val="auto"/>
          <w:sz w:val="24"/>
          <w:szCs w:val="24"/>
          <w:lang w:val="en-GB"/>
        </w:rPr>
        <w:t xml:space="preserve"> (</w:t>
      </w:r>
      <w:r w:rsidR="00D03A99" w:rsidRPr="007C17A6">
        <w:rPr>
          <w:rFonts w:ascii="Times New Roman" w:eastAsia="Times New Roman" w:hAnsi="Times New Roman" w:cs="Times New Roman"/>
          <w:color w:val="auto"/>
          <w:sz w:val="24"/>
          <w:szCs w:val="24"/>
          <w:lang w:val="en-GB"/>
        </w:rPr>
        <w:t>time step</w:t>
      </w:r>
      <w:r w:rsidR="008D0CC7" w:rsidRPr="007C17A6">
        <w:rPr>
          <w:rFonts w:ascii="Times New Roman" w:eastAsia="Times New Roman" w:hAnsi="Times New Roman" w:cs="Times New Roman"/>
          <w:color w:val="auto"/>
          <w:sz w:val="24"/>
          <w:szCs w:val="24"/>
          <w:lang w:val="en-GB"/>
        </w:rPr>
        <w:t xml:space="preserve"> 12, Fig. 3)</w:t>
      </w:r>
      <w:r w:rsidR="00C167D5" w:rsidRPr="007C17A6">
        <w:rPr>
          <w:rFonts w:ascii="Times New Roman" w:eastAsia="Times New Roman" w:hAnsi="Times New Roman" w:cs="Times New Roman"/>
          <w:color w:val="auto"/>
          <w:sz w:val="24"/>
          <w:szCs w:val="24"/>
          <w:lang w:val="en-GB"/>
        </w:rPr>
        <w:t xml:space="preserve"> to hub areas</w:t>
      </w:r>
      <w:r w:rsidR="008D0CC7" w:rsidRPr="007C17A6">
        <w:rPr>
          <w:rFonts w:ascii="Times New Roman" w:eastAsia="Times New Roman" w:hAnsi="Times New Roman" w:cs="Times New Roman"/>
          <w:color w:val="auto"/>
          <w:sz w:val="24"/>
          <w:szCs w:val="24"/>
          <w:lang w:val="en-GB"/>
        </w:rPr>
        <w:t xml:space="preserve"> (</w:t>
      </w:r>
      <w:r w:rsidR="000E1B69" w:rsidRPr="007C17A6">
        <w:rPr>
          <w:rFonts w:ascii="Times New Roman" w:eastAsia="Times New Roman" w:hAnsi="Times New Roman" w:cs="Times New Roman"/>
          <w:color w:val="auto"/>
          <w:sz w:val="24"/>
          <w:szCs w:val="24"/>
          <w:lang w:val="en-GB"/>
        </w:rPr>
        <w:t>time step 14</w:t>
      </w:r>
      <w:r w:rsidR="00761CAA" w:rsidRPr="007C17A6">
        <w:rPr>
          <w:rFonts w:ascii="Times New Roman" w:eastAsia="Times New Roman" w:hAnsi="Times New Roman" w:cs="Times New Roman"/>
          <w:color w:val="auto"/>
          <w:sz w:val="24"/>
          <w:szCs w:val="24"/>
          <w:lang w:val="en-GB"/>
        </w:rPr>
        <w:t>)</w:t>
      </w:r>
      <w:r w:rsidR="00812610" w:rsidRPr="007C17A6">
        <w:rPr>
          <w:rFonts w:ascii="Times New Roman" w:eastAsia="Times New Roman" w:hAnsi="Times New Roman" w:cs="Times New Roman"/>
          <w:color w:val="auto"/>
          <w:sz w:val="24"/>
          <w:szCs w:val="24"/>
          <w:lang w:val="en-GB"/>
        </w:rPr>
        <w:t xml:space="preserve">, </w:t>
      </w:r>
      <w:r w:rsidR="00AC0F0D" w:rsidRPr="007C17A6">
        <w:rPr>
          <w:rFonts w:ascii="Times New Roman" w:eastAsia="Times New Roman" w:hAnsi="Times New Roman" w:cs="Times New Roman"/>
          <w:color w:val="auto"/>
          <w:sz w:val="24"/>
          <w:szCs w:val="24"/>
          <w:lang w:val="en-GB"/>
        </w:rPr>
        <w:t>which predicts</w:t>
      </w:r>
      <w:r w:rsidR="009A7876" w:rsidRPr="007C17A6">
        <w:rPr>
          <w:rFonts w:ascii="Times New Roman" w:eastAsia="Times New Roman" w:hAnsi="Times New Roman" w:cs="Times New Roman"/>
          <w:color w:val="auto"/>
          <w:sz w:val="24"/>
          <w:szCs w:val="24"/>
          <w:lang w:val="en-GB"/>
        </w:rPr>
        <w:t xml:space="preserve"> an </w:t>
      </w:r>
      <w:r w:rsidR="000E1B69" w:rsidRPr="007C17A6">
        <w:rPr>
          <w:rFonts w:ascii="Times New Roman" w:eastAsia="Times New Roman" w:hAnsi="Times New Roman" w:cs="Times New Roman"/>
          <w:color w:val="auto"/>
          <w:sz w:val="24"/>
          <w:szCs w:val="24"/>
          <w:lang w:val="en-GB"/>
        </w:rPr>
        <w:t xml:space="preserve">“anterior shift” from </w:t>
      </w:r>
      <w:r w:rsidR="00500D7B" w:rsidRPr="007C17A6">
        <w:rPr>
          <w:rFonts w:ascii="Times New Roman" w:eastAsia="Times New Roman" w:hAnsi="Times New Roman" w:cs="Times New Roman"/>
          <w:color w:val="auto"/>
          <w:sz w:val="24"/>
          <w:szCs w:val="24"/>
          <w:lang w:val="en-GB"/>
        </w:rPr>
        <w:t xml:space="preserve">visual and motor </w:t>
      </w:r>
      <w:r w:rsidR="009A7876" w:rsidRPr="007C17A6">
        <w:rPr>
          <w:rFonts w:ascii="Times New Roman" w:eastAsia="Times New Roman" w:hAnsi="Times New Roman" w:cs="Times New Roman"/>
          <w:noProof/>
          <w:color w:val="auto"/>
          <w:sz w:val="24"/>
          <w:szCs w:val="24"/>
          <w:lang w:val="en-GB"/>
        </w:rPr>
        <w:t>areas</w:t>
      </w:r>
      <w:r w:rsidR="000E1B69" w:rsidRPr="007C17A6">
        <w:rPr>
          <w:rFonts w:ascii="Times New Roman" w:eastAsia="Times New Roman" w:hAnsi="Times New Roman" w:cs="Times New Roman"/>
          <w:color w:val="auto"/>
          <w:sz w:val="24"/>
          <w:szCs w:val="24"/>
          <w:lang w:val="en-GB"/>
        </w:rPr>
        <w:t xml:space="preserve"> to adjacent</w:t>
      </w:r>
      <w:r w:rsidR="00500D7B" w:rsidRPr="007C17A6">
        <w:rPr>
          <w:rFonts w:ascii="Times New Roman" w:eastAsia="Times New Roman" w:hAnsi="Times New Roman" w:cs="Times New Roman"/>
          <w:color w:val="auto"/>
          <w:sz w:val="24"/>
          <w:szCs w:val="24"/>
          <w:lang w:val="en-GB"/>
        </w:rPr>
        <w:t>-anterior</w:t>
      </w:r>
      <w:r w:rsidR="000E1B69" w:rsidRPr="007C17A6">
        <w:rPr>
          <w:rFonts w:ascii="Times New Roman" w:eastAsia="Times New Roman" w:hAnsi="Times New Roman" w:cs="Times New Roman"/>
          <w:color w:val="auto"/>
          <w:sz w:val="24"/>
          <w:szCs w:val="24"/>
          <w:lang w:val="en-GB"/>
        </w:rPr>
        <w:t xml:space="preserve"> </w:t>
      </w:r>
      <w:r w:rsidR="00812610" w:rsidRPr="007C17A6">
        <w:rPr>
          <w:rFonts w:ascii="Times New Roman" w:eastAsia="Times New Roman" w:hAnsi="Times New Roman" w:cs="Times New Roman"/>
          <w:color w:val="auto"/>
          <w:sz w:val="24"/>
          <w:szCs w:val="24"/>
          <w:lang w:val="en-GB"/>
        </w:rPr>
        <w:t xml:space="preserve">connector </w:t>
      </w:r>
      <w:r w:rsidR="009A7876" w:rsidRPr="007C17A6">
        <w:rPr>
          <w:rFonts w:ascii="Times New Roman" w:eastAsia="Times New Roman" w:hAnsi="Times New Roman" w:cs="Times New Roman"/>
          <w:color w:val="auto"/>
          <w:sz w:val="24"/>
          <w:szCs w:val="24"/>
          <w:lang w:val="en-GB"/>
        </w:rPr>
        <w:t xml:space="preserve">hub regions in temporal and prefrontal </w:t>
      </w:r>
      <w:r w:rsidR="00E2031D" w:rsidRPr="007C17A6">
        <w:rPr>
          <w:rFonts w:ascii="Times New Roman" w:eastAsia="Times New Roman" w:hAnsi="Times New Roman" w:cs="Times New Roman"/>
          <w:color w:val="auto"/>
          <w:sz w:val="24"/>
          <w:szCs w:val="24"/>
          <w:lang w:val="en-GB"/>
        </w:rPr>
        <w:t>cortex</w:t>
      </w:r>
      <w:r w:rsidR="00AC0F0D" w:rsidRPr="007C17A6">
        <w:rPr>
          <w:rFonts w:ascii="Times New Roman" w:eastAsia="Times New Roman" w:hAnsi="Times New Roman" w:cs="Times New Roman"/>
          <w:color w:val="auto"/>
          <w:sz w:val="24"/>
          <w:szCs w:val="24"/>
          <w:lang w:val="en-GB"/>
        </w:rPr>
        <w:t xml:space="preserve"> </w:t>
      </w:r>
      <w:r w:rsidR="00500D7B" w:rsidRPr="007C17A6">
        <w:rPr>
          <w:rFonts w:ascii="Times New Roman" w:eastAsia="Times New Roman" w:hAnsi="Times New Roman" w:cs="Times New Roman"/>
          <w:color w:val="auto"/>
          <w:sz w:val="24"/>
          <w:szCs w:val="24"/>
          <w:lang w:val="en-GB"/>
        </w:rPr>
        <w:t xml:space="preserve">during </w:t>
      </w:r>
      <w:r w:rsidR="000E1B69" w:rsidRPr="007C17A6">
        <w:rPr>
          <w:rFonts w:ascii="Times New Roman" w:eastAsia="Times New Roman" w:hAnsi="Times New Roman" w:cs="Times New Roman"/>
          <w:color w:val="auto"/>
          <w:sz w:val="24"/>
          <w:szCs w:val="24"/>
          <w:lang w:val="en-GB"/>
        </w:rPr>
        <w:t>working memory</w:t>
      </w:r>
      <w:r w:rsidR="009A7876" w:rsidRPr="007C17A6">
        <w:rPr>
          <w:rFonts w:ascii="Times New Roman" w:eastAsia="Times New Roman" w:hAnsi="Times New Roman" w:cs="Times New Roman"/>
          <w:color w:val="auto"/>
          <w:sz w:val="24"/>
          <w:szCs w:val="24"/>
          <w:lang w:val="en-GB"/>
        </w:rPr>
        <w:t xml:space="preserve"> </w:t>
      </w:r>
      <w:r w:rsidR="00C167D5" w:rsidRPr="007C17A6">
        <w:rPr>
          <w:rFonts w:ascii="Times New Roman" w:hAnsi="Times New Roman" w:cs="Times New Roman"/>
          <w:color w:val="auto"/>
          <w:sz w:val="24"/>
          <w:szCs w:val="24"/>
          <w:lang w:val="en-GB" w:eastAsia="zh-CN"/>
        </w:rPr>
        <w:fldChar w:fldCharType="begin" w:fldLock="1"/>
      </w:r>
      <w:r w:rsidR="007F4106" w:rsidRPr="007C17A6">
        <w:rPr>
          <w:rFonts w:ascii="Times New Roman" w:hAnsi="Times New Roman" w:cs="Times New Roman"/>
          <w:color w:val="auto"/>
          <w:sz w:val="24"/>
          <w:szCs w:val="24"/>
          <w:lang w:val="en-GB" w:eastAsia="zh-CN"/>
        </w:rPr>
        <w:instrText>ADDIN CSL_CITATION { "citationItems" : [ { "id" : "ITEM-1", "itemData" : { "DOI" : "10.1016/j.cortex.2014.02.015", "ISBN" : "0010-9452", "ISSN" : "19738102", "PMID" : "24769063", "abstract" : "Memory cells, the ultimate neurobiological substrates of working memory, remain active for several seconds and are most commonly found in prefrontal cortex and higher multisensory areas. However, if correlated activity in \"embodied\" sensorimotor systems underlies the formation of memory traces, why should memory cells emerge in areas distant from their antecedent activations in sensorimotor areas, thus leading to \"disembodiment\" (movement away from sensorimotor systems) of memory mechanisms? We modelled the formation of memory circuits in six-area neurocomputational architectures, implementing motor and sensory primary, secondary and higher association areas in frontotemporal cortices along with known between-area neuroanatomical connections. Sensorimotor learning driven by Hebbian neuroplasticity led to formation of cell assemblies distributed across the different areas of the network. These action-perception circuits (APCs) ignited fully when stimulated, thus providing a neural basis for long-term memory (LTM) of sensorimotor information linked by learning. Subsequent to ignition, activity vanished rapidly from APC neurons in sensorimotor areas but persisted in those in multimodal prefrontal and temporal areas. Such persistent activity provides a mechanism for working memory for actions, perceptions and symbols, including short-term phonological and semantic storage. Cell assembly ignition and \"disembodied\" working memory retreat of activity to multimodal areas are documented in the neurocomputational models' activity dynamics, at the level of single cells, circuits, and cortical areas. Memory disembodiment is explained neuromechanistically by APC formation and structural neuroanatomical features of the model networks, especially the central role of multimodal prefrontal and temporal cortices in bridging between sensory and motor areas. These simulations answer the \"where\" question of cortical working memory in terms of distributed APCs and their inner structure, which is, in part, determined by neuroanatomical structure. As the neurocomputational model provides a mechanistic explanation of how memory-related \"disembodied\" neuronal activity emerges in \"embodied\" APCs, it may be key to solving aspects of the embodiment debate and eventually to a better understanding of cognitive brain functions. ?? 2014.", "author" : [ { "dropping-particle" : "", "family" : "Pulverm\u00fcller", "given" : "Friedemann", "non-dropping-particle" : "", "parse-names" : false, "suffix" : "" }, { "dropping-particle" : "", "family" : "Garagnani", "given" : "Max", "non-dropping-particle" : "", "parse-names" : false, "suffix" : "" } ], "container-title" : "Cortex", "id" : "ITEM-1", "issued" : { "date-parts" : [ [ "2014", "8" ] ] }, "page" : "1-21", "title" : "From sensorimotor learning to memory cells in prefrontal and temporal association cortex: A neurocomputational study of disembodiment", "type" : "article-journal", "volume" : "57" }, "uris" : [ "http://www.mendeley.com/documents/?uuid=b405f330-7584-4c15-9e59-f81117a51c06" ] }, { "id" : "ITEM-2", "itemData" : { "ISSN" : "0301-0082", "author" : [ { "dropping-particle" : "", "family" : "Pulverm\u00fcller", "given" : "Friedemann", "non-dropping-particle" : "", "parse-names" : false, "suffix" : "" } ], "container-title" : "Progress in neurobiology", "id" : "ITEM-2", "issued" : { "date-parts" : [ [ "2018" ] ] }, "page" : "1-44", "publisher" : "Progress in Neurobiology", "title" : "Neural reuse of action perception circuits for language, concepts and communication", "type" : "article-journal", "volume" : "160" }, "uris" : [ "http://www.mendeley.com/documents/?uuid=3b773237-845e-4278-b617-26876c3fca9b" ] }, { "id" : "ITEM-3", "itemData" : { "DOI" : "10.1162/jocn.2009.21280", "ISBN" : "0898-929X", "ISSN" : "0898-929X", "PMID" : "19485699", "abstract" : "Converging evidence from humans and nonhuman primates is obliging us to abandon conventional models in favor of a radically different, distributed-network paradigm of cortical memory. Central to the new paradigm is the concept of memory network or cognit--that is, a memory or an item of knowledge defined by a pattern of connections between neuron populations associated by experience. Cognits are hierarchically organized in terms of semantic abstraction and complexity. Complex cognits link neurons in noncontiguous cortical areas of prefrontal and posterior association cortex. Cognits overlap and interconnect profusely, even across hierarchical levels (heterarchically), whereby a neuron can be part of many memory networks and thus many memories or items of knowledge.", "author" : [ { "dropping-particle" : "", "family" : "Fuster", "given" : "Joaqu\u00edn M", "non-dropping-particle" : "", "parse-names" : false, "suffix" : "" } ], "container-title" : "Journal of cognitive neuroscience", "id" : "ITEM-3", "issue" : "11", "issued" : { "date-parts" : [ [ "2009" ] ] }, "note" : "0898-929X (Print)\n0898-929X (Linking)\nJournal Article\nReview", "page" : "2047-2072", "title" : "Cortex and memory: emergence of a new paradigm.", "type" : "article-journal", "volume" : "21" }, "uris" : [ "http://www.mendeley.com/documents/?uuid=92568905-2a60-42e8-92cc-2491e09ef0df" ] } ], "mendeley" : { "formattedCitation" : "(Fuster, 2009; Pulverm\u00fcller, 2018; Pulverm\u00fcller and Garagnani, 2014)", "manualFormatting" : "(see also Fuster, 2009; Pulverm\u00fcller, 2018; Pulverm\u00fcller and Garagnani, 2014)", "plainTextFormattedCitation" : "(Fuster, 2009; Pulverm\u00fcller, 2018; Pulverm\u00fcller and Garagnani, 2014)", "previouslyFormattedCitation" : "(Fuster, 2009; Pulverm\u00fcller, 2018; Pulverm\u00fcller and Garagnani, 2014)" }, "properties" : {  }, "schema" : "https://github.com/citation-style-language/schema/raw/master/csl-citation.json" }</w:instrText>
      </w:r>
      <w:r w:rsidR="00C167D5" w:rsidRPr="007C17A6">
        <w:rPr>
          <w:rFonts w:ascii="Times New Roman" w:hAnsi="Times New Roman" w:cs="Times New Roman"/>
          <w:color w:val="auto"/>
          <w:sz w:val="24"/>
          <w:szCs w:val="24"/>
          <w:lang w:val="en-GB" w:eastAsia="zh-CN"/>
        </w:rPr>
        <w:fldChar w:fldCharType="separate"/>
      </w:r>
      <w:r w:rsidR="00E73090" w:rsidRPr="007C17A6">
        <w:rPr>
          <w:rFonts w:ascii="Times New Roman" w:hAnsi="Times New Roman" w:cs="Times New Roman"/>
          <w:noProof/>
          <w:color w:val="auto"/>
          <w:sz w:val="24"/>
          <w:szCs w:val="24"/>
          <w:lang w:val="en-GB" w:eastAsia="zh-CN"/>
        </w:rPr>
        <w:t>(</w:t>
      </w:r>
      <w:r w:rsidR="00500D7B" w:rsidRPr="007C17A6">
        <w:rPr>
          <w:rFonts w:ascii="Times New Roman" w:hAnsi="Times New Roman" w:cs="Times New Roman"/>
          <w:noProof/>
          <w:color w:val="auto"/>
          <w:sz w:val="24"/>
          <w:szCs w:val="24"/>
          <w:lang w:val="en-GB" w:eastAsia="zh-CN"/>
        </w:rPr>
        <w:t>see also</w:t>
      </w:r>
      <w:r w:rsidR="00E73090" w:rsidRPr="007C17A6">
        <w:rPr>
          <w:rFonts w:ascii="Times New Roman" w:hAnsi="Times New Roman" w:cs="Times New Roman"/>
          <w:noProof/>
          <w:color w:val="auto"/>
          <w:sz w:val="24"/>
          <w:szCs w:val="24"/>
          <w:lang w:val="en-GB" w:eastAsia="zh-CN"/>
        </w:rPr>
        <w:t xml:space="preserve"> Fuster, 2009; Pulvermüller, 2018; Pulvermüller and Garagnani, 2014)</w:t>
      </w:r>
      <w:r w:rsidR="00C167D5" w:rsidRPr="007C17A6">
        <w:rPr>
          <w:rFonts w:ascii="Times New Roman" w:hAnsi="Times New Roman" w:cs="Times New Roman"/>
          <w:color w:val="auto"/>
          <w:sz w:val="24"/>
          <w:szCs w:val="24"/>
          <w:lang w:val="en-GB" w:eastAsia="zh-CN"/>
        </w:rPr>
        <w:fldChar w:fldCharType="end"/>
      </w:r>
      <w:r w:rsidR="009A7876" w:rsidRPr="007C17A6">
        <w:rPr>
          <w:rFonts w:ascii="Times New Roman" w:eastAsia="Times New Roman" w:hAnsi="Times New Roman" w:cs="Times New Roman"/>
          <w:color w:val="auto"/>
          <w:sz w:val="24"/>
          <w:szCs w:val="24"/>
          <w:lang w:val="en-GB"/>
        </w:rPr>
        <w:t xml:space="preserve">. </w:t>
      </w:r>
    </w:p>
    <w:p w14:paraId="39A98F7B" w14:textId="77777777" w:rsidR="00F20EC5" w:rsidRPr="007C17A6" w:rsidRDefault="00F20EC5" w:rsidP="0077421C">
      <w:pPr>
        <w:spacing w:before="120" w:after="120" w:line="240" w:lineRule="auto"/>
        <w:contextualSpacing/>
        <w:jc w:val="both"/>
        <w:rPr>
          <w:rFonts w:ascii="Times New Roman" w:hAnsi="Times New Roman" w:cs="Times New Roman"/>
          <w:color w:val="auto"/>
          <w:sz w:val="24"/>
          <w:szCs w:val="24"/>
          <w:lang w:val="en-GB" w:eastAsia="zh-CN"/>
        </w:rPr>
      </w:pPr>
    </w:p>
    <w:p w14:paraId="18C71F1E" w14:textId="68932106" w:rsidR="001765BD" w:rsidRPr="007C17A6" w:rsidRDefault="00E5421A" w:rsidP="0077421C">
      <w:pPr>
        <w:spacing w:before="120" w:after="120" w:line="240" w:lineRule="auto"/>
        <w:contextualSpacing/>
        <w:jc w:val="both"/>
        <w:rPr>
          <w:rFonts w:ascii="Times New Roman" w:hAnsi="Times New Roman" w:cs="Times New Roman"/>
          <w:color w:val="000000" w:themeColor="text1"/>
          <w:sz w:val="24"/>
          <w:szCs w:val="24"/>
          <w:lang w:val="en-GB" w:eastAsia="zh-CN"/>
        </w:rPr>
      </w:pPr>
      <w:r w:rsidRPr="007C17A6">
        <w:rPr>
          <w:rFonts w:ascii="Times New Roman" w:hAnsi="Times New Roman" w:cs="Times New Roman"/>
          <w:sz w:val="24"/>
          <w:szCs w:val="24"/>
          <w:lang w:val="en-GB" w:eastAsia="zh-CN"/>
        </w:rPr>
        <w:t xml:space="preserve">Although </w:t>
      </w:r>
      <w:r w:rsidRPr="007C17A6">
        <w:rPr>
          <w:rFonts w:ascii="Times New Roman" w:hAnsi="Times New Roman" w:cs="Times New Roman"/>
          <w:noProof/>
          <w:sz w:val="24"/>
          <w:szCs w:val="24"/>
          <w:lang w:val="en-GB" w:eastAsia="zh-CN"/>
        </w:rPr>
        <w:t>the formation of each circuit was driven by correlated information</w:t>
      </w:r>
      <w:r w:rsidRPr="007C17A6">
        <w:rPr>
          <w:rFonts w:ascii="Times New Roman" w:hAnsi="Times New Roman" w:cs="Times New Roman"/>
          <w:sz w:val="24"/>
          <w:szCs w:val="24"/>
          <w:lang w:val="en-GB" w:eastAsia="zh-CN"/>
        </w:rPr>
        <w:t xml:space="preserve"> in sensory and motor areas, a widely distributed circuit with many neurons in multimodal convergence zones got active. The involvement of neurons in multimodal areas is explained by </w:t>
      </w:r>
      <w:r w:rsidR="0083572A" w:rsidRPr="007C17A6">
        <w:rPr>
          <w:rFonts w:ascii="Times New Roman" w:hAnsi="Times New Roman" w:cs="Times New Roman"/>
          <w:noProof/>
          <w:sz w:val="24"/>
          <w:szCs w:val="24"/>
          <w:lang w:val="en-GB" w:eastAsia="zh-CN"/>
        </w:rPr>
        <w:t>long-</w:t>
      </w:r>
      <w:r w:rsidRPr="007C17A6">
        <w:rPr>
          <w:rFonts w:ascii="Times New Roman" w:hAnsi="Times New Roman" w:cs="Times New Roman"/>
          <w:noProof/>
          <w:sz w:val="24"/>
          <w:szCs w:val="24"/>
          <w:lang w:val="en-GB" w:eastAsia="zh-CN"/>
        </w:rPr>
        <w:t>distance</w:t>
      </w:r>
      <w:r w:rsidRPr="007C17A6">
        <w:rPr>
          <w:rFonts w:ascii="Times New Roman" w:hAnsi="Times New Roman" w:cs="Times New Roman"/>
          <w:sz w:val="24"/>
          <w:szCs w:val="24"/>
          <w:lang w:val="en-GB" w:eastAsia="zh-CN"/>
        </w:rPr>
        <w:t xml:space="preserve"> connectivity structure, in particular by the absence of direct long-distance connections between sensory and motor areas; </w:t>
      </w:r>
      <w:r w:rsidRPr="007C17A6">
        <w:rPr>
          <w:rFonts w:ascii="Times New Roman" w:hAnsi="Times New Roman" w:cs="Times New Roman"/>
          <w:noProof/>
          <w:sz w:val="24"/>
          <w:szCs w:val="24"/>
          <w:lang w:val="en-GB" w:eastAsia="zh-CN"/>
        </w:rPr>
        <w:t>to bind information across modalities</w:t>
      </w:r>
      <w:r w:rsidRPr="007C17A6">
        <w:rPr>
          <w:rFonts w:ascii="Times New Roman" w:hAnsi="Times New Roman" w:cs="Times New Roman"/>
          <w:sz w:val="24"/>
          <w:szCs w:val="24"/>
          <w:lang w:val="en-GB" w:eastAsia="zh-CN"/>
        </w:rPr>
        <w:t xml:space="preserve">, </w:t>
      </w:r>
      <w:r w:rsidRPr="007C17A6">
        <w:rPr>
          <w:rFonts w:ascii="Times New Roman" w:hAnsi="Times New Roman" w:cs="Times New Roman"/>
          <w:noProof/>
          <w:sz w:val="24"/>
          <w:szCs w:val="24"/>
          <w:lang w:val="en-GB" w:eastAsia="zh-CN"/>
        </w:rPr>
        <w:t>activity</w:t>
      </w:r>
      <w:r w:rsidRPr="007C17A6">
        <w:rPr>
          <w:rFonts w:ascii="Times New Roman" w:hAnsi="Times New Roman" w:cs="Times New Roman"/>
          <w:sz w:val="24"/>
          <w:szCs w:val="24"/>
          <w:lang w:val="en-GB" w:eastAsia="zh-CN"/>
        </w:rPr>
        <w:t xml:space="preserve"> must travel through connector hub areas </w:t>
      </w:r>
      <w:r w:rsidR="003C44E9" w:rsidRPr="007C17A6">
        <w:rPr>
          <w:rFonts w:ascii="Times New Roman" w:hAnsi="Times New Roman" w:cs="Times New Roman"/>
          <w:sz w:val="24"/>
          <w:szCs w:val="24"/>
          <w:lang w:val="en-GB" w:eastAsia="zh-CN"/>
        </w:rPr>
        <w:t>(</w:t>
      </w:r>
      <w:r w:rsidR="003C44E9" w:rsidRPr="007C17A6">
        <w:rPr>
          <w:rFonts w:ascii="Times New Roman" w:hAnsi="Times New Roman" w:cs="Times New Roman"/>
          <w:color w:val="000000" w:themeColor="text1"/>
          <w:sz w:val="24"/>
          <w:szCs w:val="24"/>
          <w:lang w:val="en-GB" w:eastAsia="zh-CN"/>
        </w:rPr>
        <w:t xml:space="preserve">also called convergence </w:t>
      </w:r>
      <w:r w:rsidR="00B84E09" w:rsidRPr="007C17A6">
        <w:rPr>
          <w:rFonts w:ascii="Times New Roman" w:hAnsi="Times New Roman" w:cs="Times New Roman"/>
          <w:color w:val="000000" w:themeColor="text1"/>
          <w:sz w:val="24"/>
          <w:szCs w:val="24"/>
          <w:lang w:val="en-GB" w:eastAsia="zh-CN"/>
        </w:rPr>
        <w:t>zones</w:t>
      </w:r>
      <w:r w:rsidR="003C44E9" w:rsidRPr="007C17A6">
        <w:rPr>
          <w:rFonts w:ascii="Times New Roman" w:hAnsi="Times New Roman" w:cs="Times New Roman"/>
          <w:color w:val="000000" w:themeColor="text1"/>
          <w:sz w:val="24"/>
          <w:szCs w:val="24"/>
          <w:lang w:val="en-GB" w:eastAsia="zh-CN"/>
        </w:rPr>
        <w:t xml:space="preserve">, </w:t>
      </w:r>
      <w:r w:rsidR="003C44E9"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"10.1016/0010-0277(89)90005-X", "ISBN" : "0010-0277 (Print)\\r0010-0277 (Linking)", "ISSN" : "00100277", "PMID" : "2691184", "abstract" : "This article outlines a theoretical framework for the understanding of the neural basis of memory and consciousness, at systems level. It proposes an architecture constituted by: (1) neuron ensembles located in multiple and separate regions of primary and first-order sensory association cortices (\"early cortices\") and motor cortices; they contain representations of feature fragments inscribed as patterns of activity originally engaged by perceptuomotor interactions; (2) neuron ensembles located downstream from the former throughout single modality cortices (local convergence zones); they inscribe amodal records of the combinatorial arrangement of feature fragments that occurred synchronously during the experience of entities or events in sector (1); (3) neuron ensembles located downstream from the former throughout higher-order association cortices (non-local convergence zones), which inscribe amodal records of the synchronous combinatorial arrangements of local convergence zones during the experience of entities and events in sector (1); (4) feed-forward and feedback projections interlocking reciprocally the neuron ensembles in (1) with those in (2) according to a many-to-one (feed-forward) and one-to-many (feedback) principle. I propose that (a) recall of entities and events occurs when the neuron ensembles in (1) are activated in time-locked fashion; (b) the synchronous activations are directed from convergence zones in (2) and (3); and (c) the process of reactivation is triggered from firing in convergence zones and mediated by feedback projections. This proposal rejects a single anatomical site for the integration of memory and motor processes and a single store for the meaning of entities of events. Meaning is reached by time-locked multiregional retroactivation of widespread fragment records. Only the latter records can become contents of consciousness. ?? 1989.", "author" : [ { "dropping-particle" : "", "family" : "Damasio", "given" : "Antonio R.", "non-dropping-particle" : "", "parse-names" : false, "suffix" : "" } ], "container-title" : "Cognition", "edition" : "1989/11/01", "id" : "ITEM-1", "issue" : "1-2", "issued" : { "date-parts" : [ [ "1989" ] ] }, "language" : "eng", "note" : "Damasio, A R\nP01 NS19632/NS/NINDS NIH HHS/\nSWITZERLAND\nCognition. 1989 Nov;33(1-2):25-62.", "page" : "25-62", "title" : "Time-locked multiregional retroactivation: A systems-level proposal for the neural substrates of recall and recognition", "type" : "article-journal", "volume" : "33" }, "uris" : [ "http://www.mendeley.com/documents/?uuid=85485bc8-b9c6-4300-bd13-176327ee2f66" ] } ], "mendeley" : { "formattedCitation" : "(Damasio, 1989)", "manualFormatting" : "Damasio 1989)", "plainTextFormattedCitation" : "(Damasio, 1989)", "previouslyFormattedCitation" : "(Damasio, 1989)" }, "properties" : {  }, "schema" : "https://github.com/citation-style-language/schema/raw/master/csl-citation.json" }</w:instrText>
      </w:r>
      <w:r w:rsidR="003C44E9" w:rsidRPr="007C17A6">
        <w:rPr>
          <w:rFonts w:ascii="Times New Roman" w:hAnsi="Times New Roman" w:cs="Times New Roman"/>
        </w:rPr>
        <w:fldChar w:fldCharType="separate"/>
      </w:r>
      <w:r w:rsidR="003C44E9" w:rsidRPr="007C17A6">
        <w:rPr>
          <w:rFonts w:ascii="Times New Roman" w:hAnsi="Times New Roman" w:cs="Times New Roman"/>
          <w:noProof/>
          <w:color w:val="000000" w:themeColor="text1"/>
          <w:sz w:val="24"/>
          <w:szCs w:val="24"/>
          <w:lang w:val="en-GB" w:eastAsia="zh-CN"/>
        </w:rPr>
        <w:t>Damasio 1989)</w:t>
      </w:r>
      <w:r w:rsidR="003C44E9" w:rsidRPr="007C17A6">
        <w:rPr>
          <w:rFonts w:ascii="Times New Roman" w:hAnsi="Times New Roman" w:cs="Times New Roman"/>
        </w:rPr>
        <w:fldChar w:fldCharType="end"/>
      </w:r>
      <w:r w:rsidR="003C44E9" w:rsidRPr="007C17A6">
        <w:rPr>
          <w:rFonts w:ascii="Times New Roman" w:hAnsi="Times New Roman" w:cs="Times New Roman"/>
        </w:rPr>
        <w:t>,</w:t>
      </w:r>
      <w:r w:rsidR="003C44E9" w:rsidRPr="007C17A6">
        <w:rPr>
          <w:rFonts w:ascii="Times New Roman" w:hAnsi="Times New Roman" w:cs="Times New Roman"/>
          <w:sz w:val="24"/>
          <w:szCs w:val="24"/>
          <w:lang w:val="en-GB" w:eastAsia="zh-CN"/>
        </w:rPr>
        <w:t xml:space="preserve"> </w:t>
      </w:r>
      <w:r w:rsidRPr="007C17A6">
        <w:rPr>
          <w:rFonts w:ascii="Times New Roman" w:hAnsi="Times New Roman" w:cs="Times New Roman"/>
          <w:sz w:val="24"/>
          <w:szCs w:val="24"/>
          <w:lang w:val="en-GB" w:eastAsia="zh-CN"/>
        </w:rPr>
        <w:t>bridging between sensorimotor cortices.</w:t>
      </w:r>
      <w:r w:rsidRPr="007C17A6">
        <w:rPr>
          <w:rFonts w:ascii="Times New Roman" w:hAnsi="Times New Roman" w:cs="Times New Roman"/>
          <w:color w:val="000000" w:themeColor="text1"/>
          <w:sz w:val="24"/>
          <w:szCs w:val="24"/>
          <w:lang w:val="en-GB" w:eastAsia="zh-CN"/>
        </w:rPr>
        <w:t xml:space="preserve"> </w:t>
      </w:r>
      <w:r w:rsidR="002474FC" w:rsidRPr="007C17A6">
        <w:rPr>
          <w:rFonts w:ascii="Times New Roman" w:hAnsi="Times New Roman" w:cs="Times New Roman"/>
          <w:noProof/>
          <w:color w:val="000000" w:themeColor="text1"/>
          <w:sz w:val="24"/>
          <w:szCs w:val="24"/>
          <w:lang w:val="en-GB" w:eastAsia="zh-CN"/>
        </w:rPr>
        <w:t>It is important to emphasize, however, that w</w:t>
      </w:r>
      <w:r w:rsidR="001765BD" w:rsidRPr="007C17A6">
        <w:rPr>
          <w:rFonts w:ascii="Times New Roman" w:hAnsi="Times New Roman" w:cs="Times New Roman"/>
          <w:noProof/>
          <w:color w:val="000000" w:themeColor="text1"/>
          <w:sz w:val="24"/>
          <w:szCs w:val="24"/>
          <w:lang w:val="en-GB" w:eastAsia="zh-CN"/>
        </w:rPr>
        <w:t>hile the presence of</w:t>
      </w:r>
      <w:r w:rsidR="001765BD" w:rsidRPr="007C17A6">
        <w:rPr>
          <w:rFonts w:ascii="Times New Roman" w:hAnsi="Times New Roman" w:cs="Times New Roman"/>
          <w:color w:val="000000" w:themeColor="text1"/>
          <w:sz w:val="24"/>
          <w:szCs w:val="24"/>
          <w:lang w:val="en-GB" w:eastAsia="zh-CN"/>
        </w:rPr>
        <w:t xml:space="preserve"> c</w:t>
      </w:r>
      <w:r w:rsidR="00117975" w:rsidRPr="007C17A6">
        <w:rPr>
          <w:rFonts w:ascii="Times New Roman" w:hAnsi="Times New Roman" w:cs="Times New Roman"/>
          <w:color w:val="000000" w:themeColor="text1"/>
          <w:sz w:val="24"/>
          <w:szCs w:val="24"/>
          <w:lang w:val="en-GB" w:eastAsia="zh-CN"/>
        </w:rPr>
        <w:t>onnector hubs in the model is a</w:t>
      </w:r>
      <w:r w:rsidR="001765BD" w:rsidRPr="007C17A6">
        <w:rPr>
          <w:rFonts w:ascii="Times New Roman" w:hAnsi="Times New Roman" w:cs="Times New Roman"/>
          <w:color w:val="000000" w:themeColor="text1"/>
          <w:sz w:val="24"/>
          <w:szCs w:val="24"/>
          <w:lang w:val="en-GB" w:eastAsia="zh-CN"/>
        </w:rPr>
        <w:t xml:space="preserve"> </w:t>
      </w:r>
      <w:r w:rsidR="003C44E9" w:rsidRPr="007C17A6">
        <w:rPr>
          <w:rFonts w:ascii="Times New Roman" w:hAnsi="Times New Roman" w:cs="Times New Roman"/>
          <w:color w:val="000000" w:themeColor="text1"/>
          <w:sz w:val="24"/>
          <w:szCs w:val="24"/>
          <w:lang w:val="en-GB" w:eastAsia="zh-CN"/>
        </w:rPr>
        <w:t xml:space="preserve">(neuroanatomically motivated) </w:t>
      </w:r>
      <w:r w:rsidR="00117975" w:rsidRPr="007C17A6">
        <w:rPr>
          <w:rFonts w:ascii="Times New Roman" w:hAnsi="Times New Roman" w:cs="Times New Roman"/>
          <w:color w:val="000000" w:themeColor="text1"/>
          <w:sz w:val="24"/>
          <w:szCs w:val="24"/>
          <w:lang w:val="en-GB" w:eastAsia="zh-CN"/>
        </w:rPr>
        <w:t xml:space="preserve">structural </w:t>
      </w:r>
      <w:r w:rsidR="00C75980" w:rsidRPr="007C17A6">
        <w:rPr>
          <w:rFonts w:ascii="Times New Roman" w:hAnsi="Times New Roman" w:cs="Times New Roman"/>
          <w:color w:val="000000" w:themeColor="text1"/>
          <w:sz w:val="24"/>
          <w:szCs w:val="24"/>
          <w:lang w:val="en-GB" w:eastAsia="zh-CN"/>
        </w:rPr>
        <w:t>feature</w:t>
      </w:r>
      <w:r w:rsidR="001765BD" w:rsidRPr="007C17A6">
        <w:rPr>
          <w:rFonts w:ascii="Times New Roman" w:hAnsi="Times New Roman" w:cs="Times New Roman"/>
          <w:color w:val="000000" w:themeColor="text1"/>
          <w:sz w:val="24"/>
          <w:szCs w:val="24"/>
          <w:lang w:val="en-GB" w:eastAsia="zh-CN"/>
        </w:rPr>
        <w:t xml:space="preserve">, the result that </w:t>
      </w:r>
      <w:r w:rsidR="002474FC" w:rsidRPr="007C17A6">
        <w:rPr>
          <w:rFonts w:ascii="Times New Roman" w:hAnsi="Times New Roman" w:cs="Times New Roman"/>
          <w:color w:val="000000" w:themeColor="text1"/>
          <w:sz w:val="24"/>
          <w:szCs w:val="24"/>
          <w:lang w:val="en-GB" w:eastAsia="zh-CN"/>
        </w:rPr>
        <w:t xml:space="preserve">the </w:t>
      </w:r>
      <w:r w:rsidR="003C44E9" w:rsidRPr="007C17A6">
        <w:rPr>
          <w:rFonts w:ascii="Times New Roman" w:hAnsi="Times New Roman" w:cs="Times New Roman"/>
          <w:color w:val="000000" w:themeColor="text1"/>
          <w:sz w:val="24"/>
          <w:szCs w:val="24"/>
          <w:lang w:val="en-GB" w:eastAsia="zh-CN"/>
        </w:rPr>
        <w:t xml:space="preserve">learned </w:t>
      </w:r>
      <w:r w:rsidR="002474FC" w:rsidRPr="007C17A6">
        <w:rPr>
          <w:rFonts w:ascii="Times New Roman" w:hAnsi="Times New Roman" w:cs="Times New Roman"/>
          <w:color w:val="000000" w:themeColor="text1"/>
          <w:sz w:val="24"/>
          <w:szCs w:val="24"/>
          <w:lang w:val="en-GB" w:eastAsia="zh-CN"/>
        </w:rPr>
        <w:t>action and object word</w:t>
      </w:r>
      <w:r w:rsidR="003E6695" w:rsidRPr="007C17A6">
        <w:rPr>
          <w:rFonts w:ascii="Times New Roman" w:hAnsi="Times New Roman" w:cs="Times New Roman"/>
          <w:color w:val="000000" w:themeColor="text1"/>
          <w:sz w:val="24"/>
          <w:szCs w:val="24"/>
          <w:lang w:val="en-GB" w:eastAsia="zh-CN"/>
        </w:rPr>
        <w:t xml:space="preserve"> circuit</w:t>
      </w:r>
      <w:r w:rsidR="002474FC" w:rsidRPr="007C17A6">
        <w:rPr>
          <w:rFonts w:ascii="Times New Roman" w:hAnsi="Times New Roman" w:cs="Times New Roman"/>
          <w:color w:val="000000" w:themeColor="text1"/>
          <w:sz w:val="24"/>
          <w:szCs w:val="24"/>
          <w:lang w:val="en-GB" w:eastAsia="zh-CN"/>
        </w:rPr>
        <w:t xml:space="preserve">s reach </w:t>
      </w:r>
      <w:r w:rsidR="002474FC" w:rsidRPr="007C17A6">
        <w:rPr>
          <w:rFonts w:ascii="Times New Roman" w:hAnsi="Times New Roman" w:cs="Times New Roman"/>
          <w:i/>
          <w:color w:val="000000" w:themeColor="text1"/>
          <w:sz w:val="24"/>
          <w:szCs w:val="24"/>
          <w:lang w:val="en-GB" w:eastAsia="zh-CN"/>
        </w:rPr>
        <w:t>both</w:t>
      </w:r>
      <w:r w:rsidR="002474FC" w:rsidRPr="007C17A6">
        <w:rPr>
          <w:rFonts w:ascii="Times New Roman" w:hAnsi="Times New Roman" w:cs="Times New Roman"/>
          <w:color w:val="000000" w:themeColor="text1"/>
          <w:sz w:val="24"/>
          <w:szCs w:val="24"/>
          <w:lang w:val="en-GB" w:eastAsia="zh-CN"/>
        </w:rPr>
        <w:t xml:space="preserve"> </w:t>
      </w:r>
      <w:r w:rsidR="003E6695" w:rsidRPr="007C17A6">
        <w:rPr>
          <w:rFonts w:ascii="Times New Roman" w:hAnsi="Times New Roman" w:cs="Times New Roman"/>
          <w:color w:val="000000" w:themeColor="text1"/>
          <w:sz w:val="24"/>
          <w:szCs w:val="24"/>
          <w:lang w:val="en-GB" w:eastAsia="zh-CN"/>
        </w:rPr>
        <w:t xml:space="preserve">extrasylvian </w:t>
      </w:r>
      <w:r w:rsidR="002474FC" w:rsidRPr="007C17A6">
        <w:rPr>
          <w:rFonts w:ascii="Times New Roman" w:hAnsi="Times New Roman" w:cs="Times New Roman"/>
          <w:color w:val="000000" w:themeColor="text1"/>
          <w:sz w:val="24"/>
          <w:szCs w:val="24"/>
          <w:lang w:val="en-GB" w:eastAsia="zh-CN"/>
        </w:rPr>
        <w:t>connector hubs AT and PF</w:t>
      </w:r>
      <w:r w:rsidR="002474FC" w:rsidRPr="007C17A6">
        <w:rPr>
          <w:rFonts w:ascii="Times New Roman" w:hAnsi="Times New Roman" w:cs="Times New Roman"/>
          <w:color w:val="000000" w:themeColor="text1"/>
          <w:sz w:val="24"/>
          <w:szCs w:val="24"/>
          <w:vertAlign w:val="subscript"/>
          <w:lang w:val="en-GB" w:eastAsia="zh-CN"/>
        </w:rPr>
        <w:t>L</w:t>
      </w:r>
      <w:r w:rsidR="003E6695" w:rsidRPr="007C17A6">
        <w:rPr>
          <w:rFonts w:ascii="Times New Roman" w:hAnsi="Times New Roman" w:cs="Times New Roman"/>
          <w:color w:val="000000" w:themeColor="text1"/>
          <w:sz w:val="24"/>
          <w:szCs w:val="24"/>
          <w:lang w:val="en-GB" w:eastAsia="zh-CN"/>
        </w:rPr>
        <w:t xml:space="preserve"> –</w:t>
      </w:r>
      <w:r w:rsidR="003C44E9" w:rsidRPr="007C17A6">
        <w:rPr>
          <w:rFonts w:ascii="Times New Roman" w:hAnsi="Times New Roman" w:cs="Times New Roman"/>
          <w:color w:val="000000" w:themeColor="text1"/>
          <w:sz w:val="24"/>
          <w:szCs w:val="24"/>
          <w:lang w:val="en-GB" w:eastAsia="zh-CN"/>
        </w:rPr>
        <w:t xml:space="preserve"> hence forming </w:t>
      </w:r>
      <w:r w:rsidR="003E6695" w:rsidRPr="007C17A6">
        <w:rPr>
          <w:rFonts w:ascii="Times New Roman" w:hAnsi="Times New Roman" w:cs="Times New Roman"/>
          <w:color w:val="000000" w:themeColor="text1"/>
          <w:sz w:val="24"/>
          <w:szCs w:val="24"/>
          <w:lang w:val="en-GB" w:eastAsia="zh-CN"/>
        </w:rPr>
        <w:t xml:space="preserve">semantic hubs – </w:t>
      </w:r>
      <w:r w:rsidR="002474FC" w:rsidRPr="007C17A6">
        <w:rPr>
          <w:rFonts w:ascii="Times New Roman" w:hAnsi="Times New Roman" w:cs="Times New Roman"/>
          <w:color w:val="000000" w:themeColor="text1"/>
          <w:sz w:val="24"/>
          <w:szCs w:val="24"/>
          <w:lang w:val="en-GB" w:eastAsia="zh-CN"/>
        </w:rPr>
        <w:t xml:space="preserve">is not trivial, and </w:t>
      </w:r>
      <w:r w:rsidR="003C44E9" w:rsidRPr="007C17A6">
        <w:rPr>
          <w:rFonts w:ascii="Times New Roman" w:hAnsi="Times New Roman" w:cs="Times New Roman"/>
          <w:color w:val="000000" w:themeColor="text1"/>
          <w:sz w:val="24"/>
          <w:szCs w:val="24"/>
          <w:lang w:val="en-GB" w:eastAsia="zh-CN"/>
        </w:rPr>
        <w:t xml:space="preserve">could </w:t>
      </w:r>
      <w:r w:rsidR="002474FC" w:rsidRPr="007C17A6">
        <w:rPr>
          <w:rFonts w:ascii="Times New Roman" w:hAnsi="Times New Roman" w:cs="Times New Roman"/>
          <w:color w:val="000000" w:themeColor="text1"/>
          <w:sz w:val="24"/>
          <w:szCs w:val="24"/>
          <w:lang w:val="en-GB" w:eastAsia="zh-CN"/>
        </w:rPr>
        <w:t>not</w:t>
      </w:r>
      <w:r w:rsidR="00117975" w:rsidRPr="007C17A6">
        <w:rPr>
          <w:rFonts w:ascii="Times New Roman" w:hAnsi="Times New Roman" w:cs="Times New Roman"/>
          <w:color w:val="000000" w:themeColor="text1"/>
          <w:sz w:val="24"/>
          <w:szCs w:val="24"/>
          <w:lang w:val="en-GB" w:eastAsia="zh-CN"/>
        </w:rPr>
        <w:t xml:space="preserve"> </w:t>
      </w:r>
      <w:r w:rsidR="003C44E9" w:rsidRPr="007C17A6">
        <w:rPr>
          <w:rFonts w:ascii="Times New Roman" w:hAnsi="Times New Roman" w:cs="Times New Roman"/>
          <w:color w:val="000000" w:themeColor="text1"/>
          <w:sz w:val="24"/>
          <w:szCs w:val="24"/>
          <w:lang w:val="en-GB" w:eastAsia="zh-CN"/>
        </w:rPr>
        <w:t xml:space="preserve">be </w:t>
      </w:r>
      <w:r w:rsidR="00117975" w:rsidRPr="007C17A6">
        <w:rPr>
          <w:rFonts w:ascii="Times New Roman" w:hAnsi="Times New Roman" w:cs="Times New Roman"/>
          <w:i/>
          <w:color w:val="000000" w:themeColor="text1"/>
          <w:sz w:val="24"/>
          <w:szCs w:val="24"/>
          <w:lang w:val="en-GB" w:eastAsia="zh-CN"/>
        </w:rPr>
        <w:t>a priori</w:t>
      </w:r>
      <w:r w:rsidR="00117975" w:rsidRPr="007C17A6">
        <w:rPr>
          <w:rFonts w:ascii="Times New Roman" w:hAnsi="Times New Roman" w:cs="Times New Roman"/>
          <w:color w:val="000000" w:themeColor="text1"/>
          <w:sz w:val="24"/>
          <w:szCs w:val="24"/>
          <w:lang w:val="en-GB" w:eastAsia="zh-CN"/>
        </w:rPr>
        <w:t xml:space="preserve"> predicted</w:t>
      </w:r>
      <w:r w:rsidR="00117975" w:rsidRPr="007C17A6">
        <w:rPr>
          <w:rStyle w:val="FootnoteReference"/>
        </w:rPr>
        <w:footnoteReference w:id="1"/>
      </w:r>
      <w:r w:rsidR="00B126F2" w:rsidRPr="007C17A6">
        <w:rPr>
          <w:rFonts w:ascii="Times New Roman" w:hAnsi="Times New Roman" w:cs="Times New Roman"/>
          <w:color w:val="000000" w:themeColor="text1"/>
          <w:sz w:val="24"/>
          <w:szCs w:val="24"/>
          <w:lang w:val="en-GB" w:eastAsia="zh-CN"/>
        </w:rPr>
        <w:t>.</w:t>
      </w:r>
      <w:r w:rsidR="002474FC" w:rsidRPr="007C17A6">
        <w:rPr>
          <w:rFonts w:ascii="Times New Roman" w:hAnsi="Times New Roman" w:cs="Times New Roman"/>
          <w:color w:val="000000" w:themeColor="text1"/>
          <w:sz w:val="24"/>
          <w:szCs w:val="24"/>
          <w:lang w:val="en-GB" w:eastAsia="zh-CN"/>
        </w:rPr>
        <w:t xml:space="preserve"> In other words, while the presence of </w:t>
      </w:r>
      <w:r w:rsidR="002474FC" w:rsidRPr="007C17A6">
        <w:rPr>
          <w:rFonts w:ascii="Times New Roman" w:hAnsi="Times New Roman" w:cs="Times New Roman"/>
          <w:i/>
          <w:color w:val="000000" w:themeColor="text1"/>
          <w:sz w:val="24"/>
          <w:szCs w:val="24"/>
          <w:lang w:val="en-GB" w:eastAsia="zh-CN"/>
        </w:rPr>
        <w:t xml:space="preserve">connector </w:t>
      </w:r>
      <w:r w:rsidR="002474FC" w:rsidRPr="007C17A6">
        <w:rPr>
          <w:rFonts w:ascii="Times New Roman" w:hAnsi="Times New Roman" w:cs="Times New Roman"/>
          <w:color w:val="000000" w:themeColor="text1"/>
          <w:sz w:val="24"/>
          <w:szCs w:val="24"/>
          <w:lang w:val="en-GB" w:eastAsia="zh-CN"/>
        </w:rPr>
        <w:t xml:space="preserve">hubs is a structural feature of the model, the </w:t>
      </w:r>
      <w:r w:rsidR="00310EC5" w:rsidRPr="007C17A6">
        <w:rPr>
          <w:rFonts w:ascii="Times New Roman" w:hAnsi="Times New Roman" w:cs="Times New Roman"/>
          <w:color w:val="000000" w:themeColor="text1"/>
          <w:sz w:val="24"/>
          <w:szCs w:val="24"/>
          <w:lang w:val="en-GB" w:eastAsia="zh-CN"/>
        </w:rPr>
        <w:t xml:space="preserve">formation </w:t>
      </w:r>
      <w:r w:rsidR="002474FC" w:rsidRPr="007C17A6">
        <w:rPr>
          <w:rFonts w:ascii="Times New Roman" w:hAnsi="Times New Roman" w:cs="Times New Roman"/>
          <w:color w:val="000000" w:themeColor="text1"/>
          <w:sz w:val="24"/>
          <w:szCs w:val="24"/>
          <w:lang w:val="en-GB" w:eastAsia="zh-CN"/>
        </w:rPr>
        <w:t xml:space="preserve">of </w:t>
      </w:r>
      <w:r w:rsidR="002474FC" w:rsidRPr="007C17A6">
        <w:rPr>
          <w:rFonts w:ascii="Times New Roman" w:hAnsi="Times New Roman" w:cs="Times New Roman"/>
          <w:i/>
          <w:color w:val="000000" w:themeColor="text1"/>
          <w:sz w:val="24"/>
          <w:szCs w:val="24"/>
          <w:lang w:val="en-GB" w:eastAsia="zh-CN"/>
        </w:rPr>
        <w:t>semantic</w:t>
      </w:r>
      <w:r w:rsidR="002474FC" w:rsidRPr="007C17A6">
        <w:rPr>
          <w:rFonts w:ascii="Times New Roman" w:hAnsi="Times New Roman" w:cs="Times New Roman"/>
          <w:color w:val="000000" w:themeColor="text1"/>
          <w:sz w:val="24"/>
          <w:szCs w:val="24"/>
          <w:lang w:val="en-GB" w:eastAsia="zh-CN"/>
        </w:rPr>
        <w:t xml:space="preserve"> </w:t>
      </w:r>
      <w:r w:rsidR="00B84E09" w:rsidRPr="007C17A6">
        <w:rPr>
          <w:rFonts w:ascii="Times New Roman" w:hAnsi="Times New Roman" w:cs="Times New Roman"/>
          <w:i/>
          <w:color w:val="000000" w:themeColor="text1"/>
          <w:sz w:val="24"/>
          <w:szCs w:val="24"/>
          <w:lang w:val="en-GB" w:eastAsia="zh-CN"/>
        </w:rPr>
        <w:t>hubs</w:t>
      </w:r>
      <w:r w:rsidR="00117975" w:rsidRPr="007C17A6">
        <w:rPr>
          <w:rFonts w:ascii="Times New Roman" w:hAnsi="Times New Roman" w:cs="Times New Roman"/>
          <w:color w:val="000000" w:themeColor="text1"/>
          <w:sz w:val="24"/>
          <w:szCs w:val="24"/>
          <w:lang w:val="en-GB" w:eastAsia="zh-CN"/>
        </w:rPr>
        <w:t xml:space="preserve"> </w:t>
      </w:r>
      <w:r w:rsidR="002474FC" w:rsidRPr="007C17A6">
        <w:rPr>
          <w:rFonts w:ascii="Times New Roman" w:hAnsi="Times New Roman" w:cs="Times New Roman"/>
          <w:color w:val="000000" w:themeColor="text1"/>
          <w:sz w:val="24"/>
          <w:szCs w:val="24"/>
          <w:lang w:val="en-GB" w:eastAsia="zh-CN"/>
        </w:rPr>
        <w:t xml:space="preserve">is not, and constitutes one of its </w:t>
      </w:r>
      <w:r w:rsidR="00117975" w:rsidRPr="007C17A6">
        <w:rPr>
          <w:rFonts w:ascii="Times New Roman" w:hAnsi="Times New Roman" w:cs="Times New Roman"/>
          <w:noProof/>
          <w:color w:val="000000" w:themeColor="text1"/>
          <w:sz w:val="24"/>
          <w:szCs w:val="24"/>
          <w:lang w:val="en-GB" w:eastAsia="zh-CN"/>
        </w:rPr>
        <w:t>crucial</w:t>
      </w:r>
      <w:r w:rsidR="00117975" w:rsidRPr="007C17A6">
        <w:rPr>
          <w:rFonts w:ascii="Times New Roman" w:hAnsi="Times New Roman" w:cs="Times New Roman"/>
          <w:color w:val="000000" w:themeColor="text1"/>
          <w:sz w:val="24"/>
          <w:szCs w:val="24"/>
          <w:lang w:val="en-GB" w:eastAsia="zh-CN"/>
        </w:rPr>
        <w:t xml:space="preserve"> </w:t>
      </w:r>
      <w:r w:rsidR="002474FC" w:rsidRPr="007C17A6">
        <w:rPr>
          <w:rFonts w:ascii="Times New Roman" w:hAnsi="Times New Roman" w:cs="Times New Roman"/>
          <w:color w:val="000000" w:themeColor="text1"/>
          <w:sz w:val="24"/>
          <w:szCs w:val="24"/>
          <w:lang w:val="en-GB" w:eastAsia="zh-CN"/>
        </w:rPr>
        <w:t>emergen</w:t>
      </w:r>
      <w:r w:rsidR="00310EC5" w:rsidRPr="007C17A6">
        <w:rPr>
          <w:rFonts w:ascii="Times New Roman" w:hAnsi="Times New Roman" w:cs="Times New Roman"/>
          <w:color w:val="000000" w:themeColor="text1"/>
          <w:sz w:val="24"/>
          <w:szCs w:val="24"/>
          <w:lang w:val="en-GB" w:eastAsia="zh-CN"/>
        </w:rPr>
        <w:t>t</w:t>
      </w:r>
      <w:r w:rsidR="002474FC" w:rsidRPr="007C17A6">
        <w:rPr>
          <w:rFonts w:ascii="Times New Roman" w:hAnsi="Times New Roman" w:cs="Times New Roman"/>
          <w:color w:val="000000" w:themeColor="text1"/>
          <w:sz w:val="24"/>
          <w:szCs w:val="24"/>
          <w:lang w:val="en-GB" w:eastAsia="zh-CN"/>
        </w:rPr>
        <w:t xml:space="preserve"> properties.</w:t>
      </w:r>
    </w:p>
    <w:p w14:paraId="161566E3" w14:textId="5B34A484" w:rsidR="00A838DC" w:rsidRPr="007C17A6" w:rsidRDefault="00E5421A" w:rsidP="0077421C">
      <w:pPr>
        <w:spacing w:before="120" w:after="120" w:line="240" w:lineRule="auto"/>
        <w:contextualSpacing/>
        <w:jc w:val="both"/>
        <w:rPr>
          <w:rFonts w:ascii="Times New Roman" w:hAnsi="Times New Roman" w:cs="Times New Roman"/>
        </w:rPr>
      </w:pPr>
      <w:r w:rsidRPr="007C17A6">
        <w:rPr>
          <w:rFonts w:ascii="Times New Roman" w:hAnsi="Times New Roman" w:cs="Times New Roman"/>
          <w:color w:val="000000" w:themeColor="text1"/>
          <w:sz w:val="24"/>
          <w:szCs w:val="24"/>
          <w:lang w:val="en-GB"/>
        </w:rPr>
        <w:t xml:space="preserve">The spontaneous formation of internal semantic circuits spanning the entire spiking neural network is a direct consequence of neurobiological principles </w:t>
      </w:r>
      <w:r w:rsidRPr="007C17A6">
        <w:rPr>
          <w:rFonts w:ascii="Times New Roman" w:hAnsi="Times New Roman" w:cs="Times New Roman"/>
          <w:noProof/>
          <w:color w:val="000000" w:themeColor="text1"/>
          <w:sz w:val="24"/>
          <w:szCs w:val="24"/>
          <w:lang w:val="en-GB"/>
        </w:rPr>
        <w:t>modelled</w:t>
      </w:r>
      <w:r w:rsidRPr="007C17A6">
        <w:rPr>
          <w:rFonts w:ascii="Times New Roman" w:hAnsi="Times New Roman" w:cs="Times New Roman"/>
          <w:color w:val="000000" w:themeColor="text1"/>
          <w:sz w:val="24"/>
          <w:szCs w:val="24"/>
          <w:lang w:val="en-GB"/>
        </w:rPr>
        <w:t xml:space="preserve"> in the architecture that </w:t>
      </w:r>
      <w:r w:rsidRPr="007C17A6">
        <w:rPr>
          <w:rFonts w:ascii="Times New Roman" w:hAnsi="Times New Roman" w:cs="Times New Roman"/>
          <w:noProof/>
          <w:color w:val="000000" w:themeColor="text1"/>
          <w:sz w:val="24"/>
          <w:szCs w:val="24"/>
          <w:lang w:val="en-GB"/>
        </w:rPr>
        <w:t>are</w:t>
      </w:r>
      <w:r w:rsidRPr="007C17A6">
        <w:rPr>
          <w:rFonts w:ascii="Times New Roman" w:hAnsi="Times New Roman" w:cs="Times New Roman"/>
          <w:color w:val="000000" w:themeColor="text1"/>
          <w:sz w:val="24"/>
          <w:szCs w:val="24"/>
          <w:lang w:val="en-GB"/>
        </w:rPr>
        <w:t xml:space="preserve"> known to govern the human brain. </w:t>
      </w:r>
      <w:r w:rsidRPr="007C17A6">
        <w:rPr>
          <w:rFonts w:ascii="Times New Roman" w:hAnsi="Times New Roman" w:cs="Times New Roman"/>
          <w:color w:val="000000" w:themeColor="text1"/>
          <w:sz w:val="24"/>
          <w:szCs w:val="24"/>
          <w:lang w:val="en-GB" w:eastAsia="zh-CN"/>
        </w:rPr>
        <w:t>As discussed below, the activation of the learned distributed circuits explains the ‘semantic area activations’ seen in neuroimaging experiments.</w:t>
      </w:r>
    </w:p>
    <w:p w14:paraId="4E18BCE0" w14:textId="77777777" w:rsidR="00A838DC" w:rsidRPr="007C17A6" w:rsidRDefault="00E5421A" w:rsidP="00E740D6">
      <w:pPr>
        <w:pStyle w:val="Heading2"/>
        <w:spacing w:before="120" w:after="120" w:line="240" w:lineRule="auto"/>
        <w:rPr>
          <w:rFonts w:ascii="Times New Roman" w:hAnsi="Times New Roman" w:cs="Times New Roman"/>
          <w:b/>
          <w:color w:val="000000" w:themeColor="text1"/>
          <w:sz w:val="24"/>
          <w:szCs w:val="24"/>
          <w:lang w:eastAsia="zh-CN"/>
        </w:rPr>
      </w:pPr>
      <w:r w:rsidRPr="007C17A6">
        <w:rPr>
          <w:rFonts w:ascii="Times New Roman" w:hAnsi="Times New Roman" w:cs="Times New Roman"/>
          <w:b/>
          <w:color w:val="000000" w:themeColor="text1"/>
          <w:sz w:val="24"/>
          <w:szCs w:val="24"/>
          <w:lang w:eastAsia="zh-CN"/>
        </w:rPr>
        <w:t>Explaining multiple semantic hubs</w:t>
      </w:r>
    </w:p>
    <w:p w14:paraId="2612C6E0" w14:textId="682007C5" w:rsidR="00A838DC" w:rsidRPr="007C17A6" w:rsidRDefault="00E5421A" w:rsidP="0077421C">
      <w:pPr>
        <w:spacing w:before="120" w:after="120" w:line="240" w:lineRule="auto"/>
        <w:contextualSpacing/>
        <w:jc w:val="both"/>
        <w:rPr>
          <w:rFonts w:ascii="Times New Roman" w:hAnsi="Times New Roman" w:cs="Times New Roman"/>
          <w:color w:val="000000" w:themeColor="text1"/>
          <w:sz w:val="24"/>
          <w:szCs w:val="24"/>
          <w:lang w:val="en-GB" w:eastAsia="zh-CN"/>
        </w:rPr>
      </w:pPr>
      <w:r w:rsidRPr="007C17A6">
        <w:rPr>
          <w:rFonts w:ascii="Times New Roman" w:hAnsi="Times New Roman" w:cs="Times New Roman"/>
          <w:color w:val="000000" w:themeColor="text1"/>
          <w:sz w:val="24"/>
          <w:szCs w:val="24"/>
          <w:lang w:val="en-GB" w:eastAsia="zh-CN"/>
        </w:rPr>
        <w:t xml:space="preserve">Not only did our model firmly bind neurons in multimodal areas to sensorimotor neurons involved in semantic processing, but, within each circuit, the proportion of these multimodal-area neurons was even </w:t>
      </w:r>
      <w:r w:rsidRPr="007C17A6">
        <w:rPr>
          <w:rFonts w:ascii="Times New Roman" w:hAnsi="Times New Roman" w:cs="Times New Roman"/>
          <w:noProof/>
          <w:color w:val="000000" w:themeColor="text1"/>
          <w:sz w:val="24"/>
          <w:szCs w:val="24"/>
          <w:lang w:val="en-GB" w:eastAsia="zh-CN"/>
        </w:rPr>
        <w:t>greater</w:t>
      </w:r>
      <w:r w:rsidRPr="007C17A6">
        <w:rPr>
          <w:rFonts w:ascii="Times New Roman" w:hAnsi="Times New Roman" w:cs="Times New Roman"/>
          <w:color w:val="000000" w:themeColor="text1"/>
          <w:sz w:val="24"/>
          <w:szCs w:val="24"/>
          <w:lang w:val="en-GB" w:eastAsia="zh-CN"/>
        </w:rPr>
        <w:t xml:space="preserve"> than the percentage of circuit neurons in primary and secondary areas. On </w:t>
      </w:r>
      <w:r w:rsidRPr="007C17A6">
        <w:rPr>
          <w:rFonts w:ascii="Times New Roman" w:hAnsi="Times New Roman" w:cs="Times New Roman"/>
          <w:noProof/>
          <w:color w:val="000000" w:themeColor="text1"/>
          <w:sz w:val="24"/>
          <w:szCs w:val="24"/>
          <w:lang w:val="en-GB" w:eastAsia="zh-CN"/>
        </w:rPr>
        <w:t>first</w:t>
      </w:r>
      <w:r w:rsidRPr="007C17A6">
        <w:rPr>
          <w:rFonts w:ascii="Times New Roman" w:hAnsi="Times New Roman" w:cs="Times New Roman"/>
          <w:color w:val="000000" w:themeColor="text1"/>
          <w:sz w:val="24"/>
          <w:szCs w:val="24"/>
          <w:lang w:val="en-GB" w:eastAsia="zh-CN"/>
        </w:rPr>
        <w:t xml:space="preserve"> </w:t>
      </w:r>
      <w:r w:rsidRPr="007C17A6">
        <w:rPr>
          <w:rFonts w:ascii="Times New Roman" w:hAnsi="Times New Roman" w:cs="Times New Roman"/>
          <w:color w:val="000000" w:themeColor="text1"/>
          <w:sz w:val="24"/>
          <w:szCs w:val="24"/>
          <w:lang w:val="en-GB" w:eastAsia="zh-CN"/>
        </w:rPr>
        <w:lastRenderedPageBreak/>
        <w:t>view, this appears as surprising, because, during pattern presentation, sensory and motor neurons were directly stimulat</w:t>
      </w:r>
      <w:r w:rsidR="00DE610C" w:rsidRPr="007C17A6">
        <w:rPr>
          <w:rFonts w:ascii="Times New Roman" w:hAnsi="Times New Roman" w:cs="Times New Roman"/>
          <w:color w:val="000000" w:themeColor="text1"/>
          <w:sz w:val="24"/>
          <w:szCs w:val="24"/>
          <w:lang w:val="en-GB" w:eastAsia="zh-CN"/>
        </w:rPr>
        <w:t xml:space="preserve">ed together, whereas multimodal </w:t>
      </w:r>
      <w:r w:rsidRPr="007C17A6">
        <w:rPr>
          <w:rFonts w:ascii="Times New Roman" w:hAnsi="Times New Roman" w:cs="Times New Roman"/>
          <w:color w:val="000000" w:themeColor="text1"/>
          <w:sz w:val="24"/>
          <w:szCs w:val="24"/>
          <w:lang w:val="en-GB" w:eastAsia="zh-CN"/>
        </w:rPr>
        <w:t xml:space="preserve">areas were activated only indirectly, by activity spreading from primary areas. However, the multimodal areas occupy a central location in the network topology because they bridge between sensory and motor areas, and therefore receive near-simultaneous convergent input from different (here, three) systems during learning. Such convergence also takes advantage of the higher ’degree’ of connectivity </w:t>
      </w:r>
      <w:r w:rsidRPr="007C17A6">
        <w:rPr>
          <w:rFonts w:ascii="Times New Roman" w:hAnsi="Times New Roman" w:cs="Times New Roman"/>
          <w:noProof/>
          <w:color w:val="000000" w:themeColor="text1"/>
          <w:sz w:val="24"/>
          <w:szCs w:val="24"/>
          <w:lang w:val="en-GB" w:eastAsia="zh-CN"/>
        </w:rPr>
        <w:t>characterising</w:t>
      </w:r>
      <w:r w:rsidRPr="007C17A6">
        <w:rPr>
          <w:rFonts w:ascii="Times New Roman" w:hAnsi="Times New Roman" w:cs="Times New Roman"/>
          <w:color w:val="000000" w:themeColor="text1"/>
          <w:sz w:val="24"/>
          <w:szCs w:val="24"/>
          <w:lang w:val="en-GB" w:eastAsia="zh-CN"/>
        </w:rPr>
        <w:t xml:space="preserve"> multimodal areas</w:t>
      </w:r>
      <w:r w:rsidR="00707C77" w:rsidRPr="007C17A6">
        <w:rPr>
          <w:rFonts w:ascii="Times New Roman" w:hAnsi="Times New Roman" w:cs="Times New Roman"/>
          <w:color w:val="000000" w:themeColor="text1"/>
          <w:sz w:val="24"/>
          <w:szCs w:val="24"/>
          <w:lang w:val="en-GB" w:eastAsia="zh-CN"/>
        </w:rPr>
        <w:t xml:space="preserve"> and of their resultant role as</w:t>
      </w:r>
      <w:r w:rsidRPr="007C17A6">
        <w:rPr>
          <w:rFonts w:ascii="Times New Roman" w:hAnsi="Times New Roman" w:cs="Times New Roman"/>
          <w:color w:val="000000" w:themeColor="text1"/>
          <w:sz w:val="24"/>
          <w:szCs w:val="24"/>
          <w:lang w:val="en-GB" w:eastAsia="zh-CN"/>
        </w:rPr>
        <w:t xml:space="preserve"> ‘connector hubs</w:t>
      </w:r>
      <w:r w:rsidRPr="007C17A6">
        <w:rPr>
          <w:rFonts w:ascii="Times New Roman" w:hAnsi="Times New Roman" w:cs="Times New Roman"/>
          <w:noProof/>
          <w:color w:val="000000" w:themeColor="text1"/>
          <w:sz w:val="24"/>
          <w:szCs w:val="24"/>
          <w:lang w:val="en-GB" w:eastAsia="zh-CN"/>
        </w:rPr>
        <w:t>’,</w:t>
      </w:r>
      <w:r w:rsidRPr="007C17A6">
        <w:rPr>
          <w:rFonts w:ascii="Times New Roman" w:hAnsi="Times New Roman" w:cs="Times New Roman"/>
          <w:color w:val="000000" w:themeColor="text1"/>
          <w:sz w:val="24"/>
          <w:szCs w:val="24"/>
          <w:lang w:val="en-GB" w:eastAsia="zh-CN"/>
        </w:rPr>
        <w:t xml:space="preserve"> for which </w:t>
      </w:r>
      <w:r w:rsidRPr="007C17A6">
        <w:rPr>
          <w:rFonts w:ascii="Times New Roman" w:hAnsi="Times New Roman" w:cs="Times New Roman"/>
          <w:noProof/>
          <w:color w:val="000000" w:themeColor="text1"/>
          <w:sz w:val="24"/>
          <w:szCs w:val="24"/>
          <w:lang w:val="en-GB" w:eastAsia="zh-CN"/>
        </w:rPr>
        <w:t>a special</w:t>
      </w:r>
      <w:r w:rsidRPr="007C17A6">
        <w:rPr>
          <w:rFonts w:ascii="Times New Roman" w:hAnsi="Times New Roman" w:cs="Times New Roman"/>
          <w:color w:val="000000" w:themeColor="text1"/>
          <w:sz w:val="24"/>
          <w:szCs w:val="24"/>
          <w:lang w:val="en-GB" w:eastAsia="zh-CN"/>
        </w:rPr>
        <w:t xml:space="preserve"> role in cognition has previously </w:t>
      </w:r>
      <w:r w:rsidRPr="007C17A6">
        <w:rPr>
          <w:rFonts w:ascii="Times New Roman" w:hAnsi="Times New Roman" w:cs="Times New Roman"/>
          <w:noProof/>
          <w:color w:val="000000" w:themeColor="text1"/>
          <w:sz w:val="24"/>
          <w:szCs w:val="24"/>
          <w:lang w:val="en-GB" w:eastAsia="zh-CN"/>
        </w:rPr>
        <w:t>been proposed</w:t>
      </w:r>
      <w:r w:rsidRPr="007C17A6">
        <w:rPr>
          <w:rFonts w:ascii="Times New Roman" w:hAnsi="Times New Roman" w:cs="Times New Roman"/>
          <w:color w:val="000000" w:themeColor="text1"/>
          <w:sz w:val="24"/>
          <w:szCs w:val="24"/>
          <w:lang w:val="en-GB" w:eastAsia="zh-CN"/>
        </w:rPr>
        <w:t xml:space="preserve">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"ISSN" : "1364-6613", "author" : [ { "dropping-particle" : "", "family" : "Heuvel", "given" : "Martijn P", "non-dropping-particle" : "Van den", "parse-names" : false, "suffix" : "" }, { "dropping-particle" : "", "family" : "Sporns", "given" : "Olaf", "non-dropping-particle" : "", "parse-names" : false, "suffix" : "" } ], "container-title" : "Trends in cognitive sciences", "id" : "ITEM-1", "issue" : "12", "issued" : { "date-parts" : [ [ "2013" ] ] }, "page" : "683-696", "publisher" : "Elsevier", "title" : "Network hubs in the human brain", "type" : "article-journal", "volume" : "17" }, "uris" : [ "http://www.mendeley.com/documents/?uuid=a1515917-faa5-4bc3-8cce-154f27a8d18f", "http://www.mendeley.com/documents/?uuid=9b6bad1e-cf83-4cac-b918-8e2bc72ea050" ] } ], "mendeley" : { "formattedCitation" : "(Van den Heuvel and Sporns, 2013)", "plainTextFormattedCitation" : "(Van den Heuvel and Sporns, 2013)", "previouslyFormattedCitation" : "(Van den Heuvel and Sporns, 2013)" }, "properties" : {  }, "schema" : "https://github.com/citation-style-language/schema/raw/master/csl-citation.json" }</w:instrText>
      </w:r>
      <w:r w:rsidRPr="007C17A6">
        <w:rPr>
          <w:rFonts w:ascii="Times New Roman" w:hAnsi="Times New Roman" w:cs="Times New Roman"/>
        </w:rPr>
        <w:fldChar w:fldCharType="separate"/>
      </w:r>
      <w:bookmarkStart w:id="171" w:name="__Fieldmark__1993_1687356023"/>
      <w:bookmarkStart w:id="172" w:name="__Fieldmark__2290_531023477"/>
      <w:bookmarkStart w:id="173" w:name="__Fieldmark__1651_2073936654"/>
      <w:r w:rsidR="00C00A10" w:rsidRPr="007C17A6">
        <w:rPr>
          <w:rFonts w:ascii="Times New Roman" w:hAnsi="Times New Roman" w:cs="Times New Roman"/>
          <w:noProof/>
          <w:color w:val="000000" w:themeColor="text1"/>
          <w:sz w:val="24"/>
          <w:szCs w:val="24"/>
          <w:lang w:val="en-GB" w:eastAsia="zh-CN"/>
        </w:rPr>
        <w:t>(Van den Heuvel and Sporns, 2013)</w:t>
      </w:r>
      <w:r w:rsidRPr="007C17A6">
        <w:rPr>
          <w:rFonts w:ascii="Times New Roman" w:hAnsi="Times New Roman" w:cs="Times New Roman"/>
        </w:rPr>
        <w:fldChar w:fldCharType="end"/>
      </w:r>
      <w:bookmarkEnd w:id="171"/>
      <w:bookmarkEnd w:id="172"/>
      <w:bookmarkEnd w:id="173"/>
      <w:r w:rsidRPr="007C17A6">
        <w:rPr>
          <w:rFonts w:ascii="Times New Roman" w:hAnsi="Times New Roman" w:cs="Times New Roman"/>
          <w:color w:val="000000" w:themeColor="text1"/>
          <w:sz w:val="24"/>
          <w:szCs w:val="24"/>
          <w:lang w:val="en-GB" w:eastAsia="zh-CN"/>
        </w:rPr>
        <w:t xml:space="preserve">. The cumulative effect of correlated inputs through several pathways converging on multimodal hubs accounts for their </w:t>
      </w:r>
      <w:r w:rsidRPr="007C17A6">
        <w:rPr>
          <w:rFonts w:ascii="Times New Roman" w:hAnsi="Times New Roman" w:cs="Times New Roman"/>
          <w:color w:val="000000" w:themeColor="text1"/>
          <w:sz w:val="24"/>
          <w:szCs w:val="24"/>
          <w:lang w:val="en-GB"/>
        </w:rPr>
        <w:t>higher neuron-densities</w:t>
      </w:r>
      <w:r w:rsidRPr="007C17A6">
        <w:rPr>
          <w:rFonts w:ascii="Times New Roman" w:hAnsi="Times New Roman" w:cs="Times New Roman"/>
          <w:color w:val="000000" w:themeColor="text1"/>
          <w:sz w:val="24"/>
          <w:szCs w:val="24"/>
          <w:lang w:val="en-GB" w:eastAsia="zh-CN"/>
        </w:rPr>
        <w:t xml:space="preserve"> contributing to semantic circuits. Thus, given that </w:t>
      </w:r>
      <w:r w:rsidRPr="007C17A6">
        <w:rPr>
          <w:rFonts w:ascii="Times New Roman" w:hAnsi="Times New Roman" w:cs="Times New Roman"/>
          <w:noProof/>
          <w:color w:val="000000" w:themeColor="text1"/>
          <w:sz w:val="24"/>
          <w:szCs w:val="24"/>
          <w:lang w:val="en-GB" w:eastAsia="zh-CN"/>
        </w:rPr>
        <w:t>large</w:t>
      </w:r>
      <w:r w:rsidRPr="007C17A6">
        <w:rPr>
          <w:rFonts w:ascii="Times New Roman" w:hAnsi="Times New Roman" w:cs="Times New Roman"/>
          <w:color w:val="000000" w:themeColor="text1"/>
          <w:sz w:val="24"/>
          <w:szCs w:val="24"/>
          <w:lang w:val="en-GB" w:eastAsia="zh-CN"/>
        </w:rPr>
        <w:t xml:space="preserve"> fractions of the neurons of all semantic circuits </w:t>
      </w:r>
      <w:r w:rsidRPr="007C17A6">
        <w:rPr>
          <w:rFonts w:ascii="Times New Roman" w:hAnsi="Times New Roman" w:cs="Times New Roman"/>
          <w:noProof/>
          <w:color w:val="000000" w:themeColor="text1"/>
          <w:sz w:val="24"/>
          <w:szCs w:val="24"/>
          <w:lang w:val="en-GB" w:eastAsia="zh-CN"/>
        </w:rPr>
        <w:t>were located</w:t>
      </w:r>
      <w:r w:rsidRPr="007C17A6">
        <w:rPr>
          <w:rFonts w:ascii="Times New Roman" w:hAnsi="Times New Roman" w:cs="Times New Roman"/>
          <w:color w:val="000000" w:themeColor="text1"/>
          <w:sz w:val="24"/>
          <w:szCs w:val="24"/>
          <w:lang w:val="en-GB" w:eastAsia="zh-CN"/>
        </w:rPr>
        <w:t xml:space="preserve"> in connector hubs, the model explains the prominent role of these</w:t>
      </w:r>
      <w:r w:rsidR="0043105D" w:rsidRPr="007C17A6">
        <w:rPr>
          <w:rFonts w:ascii="Times New Roman" w:hAnsi="Times New Roman" w:cs="Times New Roman"/>
          <w:color w:val="000000" w:themeColor="text1"/>
          <w:sz w:val="24"/>
          <w:szCs w:val="24"/>
          <w:lang w:val="en-GB" w:eastAsia="zh-CN"/>
        </w:rPr>
        <w:t xml:space="preserve"> connector</w:t>
      </w:r>
      <w:r w:rsidRPr="007C17A6">
        <w:rPr>
          <w:rFonts w:ascii="Times New Roman" w:hAnsi="Times New Roman" w:cs="Times New Roman"/>
          <w:color w:val="000000" w:themeColor="text1"/>
          <w:sz w:val="24"/>
          <w:szCs w:val="24"/>
          <w:lang w:val="en-GB" w:eastAsia="zh-CN"/>
        </w:rPr>
        <w:t xml:space="preserve"> regions in general semantic processing, which is, partly, due to the well-known pre-existing neuroanatomical connectivity and importantly, due to the correlated neuronal activity during word learning.</w:t>
      </w:r>
    </w:p>
    <w:p w14:paraId="06BB5196" w14:textId="77777777" w:rsidR="00B30D84" w:rsidRPr="007C17A6" w:rsidRDefault="00B30D84" w:rsidP="00E740D6">
      <w:pPr>
        <w:spacing w:before="120" w:after="120" w:line="240" w:lineRule="auto"/>
        <w:ind w:firstLine="288"/>
        <w:contextualSpacing/>
        <w:jc w:val="both"/>
        <w:rPr>
          <w:rFonts w:ascii="Times New Roman" w:hAnsi="Times New Roman" w:cs="Times New Roman"/>
        </w:rPr>
      </w:pPr>
    </w:p>
    <w:p w14:paraId="39644FA0" w14:textId="6979165B" w:rsidR="00A838DC" w:rsidRPr="007C17A6" w:rsidRDefault="00E5421A" w:rsidP="0077421C">
      <w:pPr>
        <w:spacing w:before="120" w:after="120" w:line="240" w:lineRule="auto"/>
        <w:contextualSpacing/>
        <w:jc w:val="both"/>
        <w:rPr>
          <w:rFonts w:ascii="Times New Roman" w:hAnsi="Times New Roman" w:cs="Times New Roman"/>
        </w:rPr>
      </w:pPr>
      <w:r w:rsidRPr="007C17A6">
        <w:rPr>
          <w:rFonts w:ascii="Times New Roman" w:hAnsi="Times New Roman" w:cs="Times New Roman"/>
          <w:color w:val="000000" w:themeColor="text1"/>
          <w:sz w:val="24"/>
          <w:szCs w:val="24"/>
          <w:lang w:val="en-GB" w:eastAsia="zh-CN"/>
        </w:rPr>
        <w:t xml:space="preserve">Crucially, the model implicates and explains not only one, but at least four </w:t>
      </w:r>
      <w:r w:rsidR="00172357" w:rsidRPr="007C17A6">
        <w:rPr>
          <w:rFonts w:ascii="Times New Roman" w:hAnsi="Times New Roman" w:cs="Times New Roman"/>
          <w:color w:val="000000" w:themeColor="text1"/>
          <w:sz w:val="24"/>
          <w:szCs w:val="24"/>
          <w:lang w:val="en-GB" w:eastAsia="zh-CN"/>
        </w:rPr>
        <w:t xml:space="preserve">experimentally observed </w:t>
      </w:r>
      <w:r w:rsidRPr="007C17A6">
        <w:rPr>
          <w:rFonts w:ascii="Times New Roman" w:hAnsi="Times New Roman" w:cs="Times New Roman"/>
          <w:color w:val="000000" w:themeColor="text1"/>
          <w:sz w:val="24"/>
          <w:szCs w:val="24"/>
          <w:lang w:val="en-GB" w:eastAsia="zh-CN"/>
        </w:rPr>
        <w:t xml:space="preserve">‘semantic hub’ areas. One of these is in </w:t>
      </w:r>
      <w:r w:rsidRPr="007C17A6">
        <w:rPr>
          <w:rFonts w:ascii="Times New Roman" w:hAnsi="Times New Roman" w:cs="Times New Roman"/>
          <w:noProof/>
          <w:color w:val="000000" w:themeColor="text1"/>
          <w:sz w:val="24"/>
          <w:szCs w:val="24"/>
          <w:lang w:val="en-GB" w:eastAsia="zh-CN"/>
        </w:rPr>
        <w:t>anterior-temporal</w:t>
      </w:r>
      <w:r w:rsidRPr="007C17A6">
        <w:rPr>
          <w:rFonts w:ascii="Times New Roman" w:hAnsi="Times New Roman" w:cs="Times New Roman"/>
          <w:color w:val="000000" w:themeColor="text1"/>
          <w:sz w:val="24"/>
          <w:szCs w:val="24"/>
          <w:lang w:val="en-GB" w:eastAsia="zh-CN"/>
        </w:rPr>
        <w:t xml:space="preserve"> lobe, providing a theoretical foundation for the critical postulate of the hub-and-spoke model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"10.1038/nrn2277", "ISBN" : "1471-0048 (Electronic)\\n1471-003X (Linking)", "ISSN" : "1471-0048", "PMID" : "18026167", "abstract" : "Mr M, a patient with semantic dementia--a neurodegenerative disease that is characterized by the gradual deterioration of semantic memory--was being driven through the countryside to visit a friend and was able to remind his wife where to turn along the not-recently-travelled route. Then, pointing at the sheep in the field, he asked her \"What are those things?\" Prior to the onset of symptoms in his late 40s, this man had normal semantic memory. What has gone wrong in his brain to produce this dramatic and selective erosion of conceptual knowledge?", "author" : [ { "dropping-particle" : "", "family" : "Patterson", "given" : "Karalyn", "non-dropping-particle" : "", "parse-names" : false, "suffix" : "" }, { "dropping-particle" : "", "family" : "Nestor", "given" : "Peter J", "non-dropping-particle" : "", "parse-names" : false, "suffix" : "" }, { "dropping-particle" : "", "family" : "Rogers", "given" : "Timothy T", "non-dropping-particle" : "", "parse-names" : false, "suffix" : "" } ], "container-title" : "Nature reviews. Neuroscience", "id" : "ITEM-1", "issue" : "12", "issued" : { "date-parts" : [ [ "2007" ] ] }, "page" : "976-87", "title" : "Where do you know what you know? The representation of semantic knowledge in the human brain.", "type" : "article-journal", "volume" : "8" }, "uris" : [ "http://www.mendeley.com/documents/?uuid=e157aed2-0a91-41a6-ac4f-6835b10e583a" ] } ], "mendeley" : { "formattedCitation" : "(Patterson et al., 2007)", "plainTextFormattedCitation" : "(Patterson et al., 2007)", "previouslyFormattedCitation" : "(Patterson et al., 2007)" }, "properties" : {  }, "schema" : "https://github.com/citation-style-language/schema/raw/master/csl-citation.json" }</w:instrText>
      </w:r>
      <w:r w:rsidRPr="007C17A6">
        <w:rPr>
          <w:rFonts w:ascii="Times New Roman" w:hAnsi="Times New Roman" w:cs="Times New Roman"/>
        </w:rPr>
        <w:fldChar w:fldCharType="separate"/>
      </w:r>
      <w:bookmarkStart w:id="174" w:name="__Fieldmark__2027_1687356023"/>
      <w:bookmarkStart w:id="175" w:name="__Fieldmark__1665_2073936654"/>
      <w:r w:rsidR="00C00A10" w:rsidRPr="007C17A6">
        <w:rPr>
          <w:rFonts w:ascii="Times New Roman" w:hAnsi="Times New Roman" w:cs="Times New Roman"/>
          <w:noProof/>
          <w:color w:val="000000" w:themeColor="text1"/>
          <w:sz w:val="24"/>
          <w:szCs w:val="24"/>
          <w:lang w:val="en-GB" w:eastAsia="zh-CN"/>
        </w:rPr>
        <w:t>(Patterson et al., 2007)</w:t>
      </w:r>
      <w:r w:rsidRPr="007C17A6">
        <w:rPr>
          <w:rFonts w:ascii="Times New Roman" w:hAnsi="Times New Roman" w:cs="Times New Roman"/>
        </w:rPr>
        <w:fldChar w:fldCharType="end"/>
      </w:r>
      <w:bookmarkStart w:id="176" w:name="__Fieldmark__2300_531023477"/>
      <w:bookmarkEnd w:id="174"/>
      <w:bookmarkEnd w:id="175"/>
      <w:bookmarkEnd w:id="176"/>
      <w:r w:rsidRPr="007C17A6">
        <w:rPr>
          <w:rFonts w:ascii="Times New Roman" w:hAnsi="Times New Roman" w:cs="Times New Roman"/>
          <w:color w:val="000000" w:themeColor="text1"/>
          <w:sz w:val="24"/>
          <w:szCs w:val="24"/>
          <w:lang w:val="en-GB" w:eastAsia="zh-CN"/>
        </w:rPr>
        <w:t>. Other semantic hubs are in superior-temporal-</w:t>
      </w:r>
      <w:r w:rsidRPr="007C17A6">
        <w:rPr>
          <w:rFonts w:ascii="Times New Roman" w:hAnsi="Times New Roman" w:cs="Times New Roman"/>
          <w:noProof/>
          <w:color w:val="000000" w:themeColor="text1"/>
          <w:sz w:val="24"/>
          <w:szCs w:val="24"/>
          <w:lang w:val="en-GB" w:eastAsia="zh-CN"/>
        </w:rPr>
        <w:t>parabelt</w:t>
      </w:r>
      <w:r w:rsidRPr="007C17A6">
        <w:rPr>
          <w:rFonts w:ascii="Times New Roman" w:hAnsi="Times New Roman" w:cs="Times New Roman"/>
          <w:color w:val="000000" w:themeColor="text1"/>
          <w:sz w:val="24"/>
          <w:szCs w:val="24"/>
          <w:lang w:val="en-GB" w:eastAsia="zh-CN"/>
        </w:rPr>
        <w:t xml:space="preserve"> and in inferior- and </w:t>
      </w:r>
      <w:r w:rsidRPr="007C17A6">
        <w:rPr>
          <w:rFonts w:ascii="Times New Roman" w:hAnsi="Times New Roman" w:cs="Times New Roman"/>
          <w:noProof/>
          <w:color w:val="000000" w:themeColor="text1"/>
          <w:sz w:val="24"/>
          <w:szCs w:val="24"/>
          <w:lang w:val="en-GB" w:eastAsia="zh-CN"/>
        </w:rPr>
        <w:t>dorsolateral-prefrontal</w:t>
      </w:r>
      <w:r w:rsidRPr="007C17A6">
        <w:rPr>
          <w:rFonts w:ascii="Times New Roman" w:hAnsi="Times New Roman" w:cs="Times New Roman"/>
          <w:color w:val="000000" w:themeColor="text1"/>
          <w:sz w:val="24"/>
          <w:szCs w:val="24"/>
          <w:lang w:val="en-GB" w:eastAsia="zh-CN"/>
        </w:rPr>
        <w:t xml:space="preserve"> cortex, where other models postulate sites of general semantic processing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"10.1146/annurev.neuro.25.112701.142946", "ISBN" : "- 0147-006x", "ISSN" : "0147-006X", "PMID" : "12052907", "abstract" : "s Abstract Until recently, our understanding of how language is organized in the brain depended on analysis of behavioral deficits in patients with fortuitously placed lesions. The availability of functional magnetic resonance imaging (fMRI) for in vivo analysis of the normal brain has revolutionized the study of language. This review discusses three lines of fMRI research into how the semantic system is organized in the adult brain. These are (a) the role of the left inferior frontal lobe in semantic processing and dissociations from other frontal lobe language functions, (b) the organization of categories of objects and concepts in the temporal lobe, and (c) the role of the right hemisphere in comprehending contextual and figurative meaning. Together, these lines of research broaden our understanding of how the brain stores, retrieves, and makes sense of semantic information, and they challenge some commonly held notions of functional modularity in the language system.", "author" : [ { "dropping-particle" : "", "family" : "Bookheimer", "given" : "Susan", "non-dropping-particle" : "", "parse-names" : false, "suffix" : "" } ], "container-title" : "Annu. Rev. Neurosci", "id" : "ITEM-1", "issued" : { "date-parts" : [ [ "2002" ] ] }, "page" : "151-88", "title" : "Functional MRI of language: new approaches to understanding the cortical organization of semantic processing", "type" : "article-journal", "volume" : "25" }, "uris" : [ "http://www.mendeley.com/documents/?uuid=e2d05746-d377-4eab-a79e-707503280f68" ] }, { "id" : "ITEM-2", "itemData" : { "DOI" : "10.1073/pnas.95.3.899", "ISBN" : "00278424 (ISSN)", "ISSN" : "00278424", "PMID" : "9448257", "abstract" : "Reading and listening involve complex psychological processes that recruit many brain areas. The anatomy of processing English words has been studied by a variety of imaging methods. Although there is widespread agreement on the general anatomical areas involved in comprehending words, there are still disputes about the computations that go on in these areas. Examination of the time relations (circuitry) among these anatomical areas can aid in understanding their computations. In this paper, we concentrate on tasks that involve obtaining the meaning of a word in isolation or in relation to a sentence. Our current data support a finding in the literature that frontal semantic areas are active well before posterior areas. We use the subject's attention to amplify relevant brain areas involved either in semantic classification or in judging the relation of the word to a sentence to test the hypothesis that frontal areas are concerned with lexical semantics and posterior areas are more involved in comprehension of propositions that involve several words.", "author" : [ { "dropping-particle" : "", "family" : "Posner", "given" : "M I", "non-dropping-particle" : "", "parse-names" : false, "suffix" : "" }, { "dropping-particle" : "", "family" : "Pavese", "given" : "a", "non-dropping-particle" : "", "parse-names" : false, "suffix" : "" } ], "container-title" : "Proceedings of the National Academy of Sciences of the United States of America", "id" : "ITEM-2", "issue" : "3", "issued" : { "date-parts" : [ [ "1998" ] ] }, "note" : "0027-8424\nJournal Article", "page" : "899-905", "title" : "Anatomy of word and sentence meaning.", "type" : "article-journal", "volume" : "95" }, "uris" : [ "http://www.mendeley.com/documents/?uuid=52f89b43-8dc5-47b2-8e3e-1137bcefb77b" ] }, { "id" : "ITEM-3", "itemData" : { "DOI" : "10.3389/fnhum.2016.00435", "ISSN" : "1662-5161", "PMID" : "27708566", "abstract" : "In the neuroscience of language, phonemes are frequently described as multimodal units whose neuronal representations are distributed across perisylvian cortical regions, including auditory and sensorimotor areas. A different position views phonemes primarily as acoustic entities with posterior temporal localization, which are functionally independent from frontoparietal articulatory programs. To address this current controversy, we here discuss experimental results from neuroimaging (fMRI) as well as transcranial magnetic stimulation (TMS) studies. On first glance, a mixed picture emerges, with earlier research documenting neurofunctional distinctions between phonemes in both temporal and frontoparietal sensorimotor systems, but some recent work seemingly failing to replicate the latter. Detailed analysis of methodological differences between studies reveals that the way experiments are set up explains whether sensorimotor cortex maps phonological information during speech perception or not. In particular, acoustic noise during the experiment and \u2018motor noise\u2019 caused by button press tasks work against the frontoparietal manifestation of phonemes. We highlight recent studies using sparse imaging and passive speech perception tasks along with multivariate pattern analysis (MVPA) and especially representational similarity analysis (RSA), which succeeded in separating acoustic-phonological from general-acoustic processes and in mapping specific phonological information on temporal and frontoparietal regions. The question about a causal role of sensorimotor cortex on speech perception and understanding is addressed by reviewing recent TMS studies. We conclude that frontoparietal cortices, including ventral motor and somatosensory areas, reflect phonological information during speech perception and exert a causal influence on understanding.", "author" : [ { "dropping-particle" : "", "family" : "Schomers", "given" : "Malte R.", "non-dropping-particle" : "", "parse-names" : false, "suffix" : "" }, { "dropping-particle" : "", "family" : "Pulverm\u00fcller", "given" : "Friedemann", "non-dropping-particle" : "", "parse-names" : false, "suffix" : "" } ], "container-title" : "Frontiers in Human Neuroscience", "id" : "ITEM-3", "issued" : { "date-parts" : [ [ "2016" ] ] }, "publisher" : "Frontiers Media SA", "title" : "Is the Sensorimotor Cortex Relevant for Speech Perception and Understanding? An Integrative Review", "type" : "article-journal", "volume" : "10" }, "uris" : [ "http://www.mendeley.com/documents/?uuid=f80d797e-fecd-4234-b50a-29262b9917c7" ] }, { "id" : "ITEM-4", "itemData" : { "DOI" : "10.1093/cercor/bhw379", "ISSN" : "1047-3211", "PMID" : "28077514", "abstract" : "Language comprehension engages a distributed network of frontotemporal, parietal, and sensorimotor regions, but it is still unclear how meaning of words and their semantic relationships are represented and processed within these regions and to which degrees lexico-semantic representations differ between regions and semantic types. We used fMRI and representational similarity analysis to relate word-elicited multivoxel patterns to semantic similarity between action and object words. In left inferior frontal (BA 44-45-47), left posterior middle temporal and left precentral cortex, the similarity of brain response patterns reflected semantic similarity among action-related verbs, as well as across lexical classes-between action verbs and tool-related nouns and, to a degree, between action verbs and food nouns, but not between action verbs and animal nouns. Instead, posterior inferior temporal cortex exhibited a reverse response pattern, which reflected the semantic similarity among object-related nouns, but not action-related words. These results show that semantic similarity is encoded by a range of cortical areas, including multimodal association (e.g., anterior inferior frontal, posterior middle temporal) and modality-preferential (premotor) cortex and that the representational geometries in these regions are partly dependent on semantic type, with semantic similarity among action-related words crossing lexical-semantic category boundaries.", "author" : [ { "dropping-particle" : "", "family" : "Carota", "given" : "Francesca", "non-dropping-particle" : "", "parse-names" : false, "suffix" : "" }, { "dropping-particle" : "", "family" : "Kriegeskorte", "given" : "Nikolaus", "non-dropping-particle" : "", "parse-names" : false, "suffix" : "" }, { "dropping-particle" : "", "family" : "Nili", "given" : "Hamed", "non-dropping-particle" : "", "parse-names" : false, "suffix" : "" }, { "dropping-particle" : "", "family" : "Pulverm\u00fcller", "given" : "Friedemann", "non-dropping-particle" : "", "parse-names" : false, "suffix" : "" } ], "container-title" : "Cerebral Cortex", "id" : "ITEM-4", "issued" : { "date-parts" : [ [ "2017" ] ] }, "publisher" : "Oxford Univ Press", "title" : "Representational Similarity Mapping of Distributional Semantics in Left Inferior Frontal, Middle Temporal, and Motor Cortex", "type" : "article-journal" }, "uris" : [ "http://www.mendeley.com/documents/?uuid=985a9ba8-6f2e-4dcc-8a01-3ab3599d39bd", "http://www.mendeley.com/documents/?uuid=b1b63122-2a13-44aa-815b-c05b92e86908" ] }, { "id" : "ITEM-5", "itemData" : { "ISSN" : "0006-8950", "author" : [ { "dropping-particle" : "", "family" : "Tate", "given" : "Matthew C", "non-dropping-particle" : "", "parse-names" : false, "suffix" : "" }, { "dropping-particle" : "", "family" : "Herbet", "given" : "Guillaume", "non-dropping-particle" : "", "parse-names" : false, "suffix" : "" }, { "dropping-particle" : "", "family" : "Moritz-Gasser", "given" : "Sylvie", "non-dropping-particle" : "", "parse-names" : false, "suffix" : "" }, { "dropping-particle" : "", "family" : "Tate", "given" : "Joseph E", "non-dropping-particle" : "", "parse-names" : false, "suffix" : "" }, { "dropping-particle" : "", "family" : "Duffau", "given" : "Hugues", "non-dropping-particle" : "", "parse-names" : false, "suffix" : "" } ], "container-title" : "Brain", "id" : "ITEM-5", "issue" : "10", "issued" : { "date-parts" : [ [ "2014" ] ] }, "page" : "2773-2782", "publisher" : "Oxford Univ Press", "title" : "Probabilistic map of critical functional regions of the human cerebral cortex: Broca\u2019s area revisited", "type" : "article-journal", "volume" : "137" }, "uris" : [ "http://www.mendeley.com/documents/?uuid=12b6e728-dd35-461f-a612-e22d60954eb2", "http://www.mendeley.com/documents/?uuid=836ab5ff-5d1c-4395-a425-5ed7e9149f9f", "http://www.mendeley.com/documents/?uuid=57af8bf8-6774-475c-a4f4-f2bbc44843e1" ] } ], "mendeley" : { "formattedCitation" : "(Bookheimer, 2002; Carota et al., 2017; Posner and Pavese, 1998; Schomers and Pulverm\u00fcller, 2016; Tate et al., 2014)", "plainTextFormattedCitation" : "(Bookheimer, 2002; Carota et al., 2017; Posner and Pavese, 1998; Schomers and Pulverm\u00fcller, 2016; Tate et al., 2014)", "previouslyFormattedCitation" : "(Bookheimer, 2002; Carota et al., 2017; Posner and Pavese, 1998; Schomers and Pulverm\u00fcller, 2016; Tate et al., 2014)" }, "properties" : {  }, "schema" : "https://github.com/citation-style-language/schema/raw/master/csl-citation.json" }</w:instrText>
      </w:r>
      <w:r w:rsidRPr="007C17A6">
        <w:rPr>
          <w:rFonts w:ascii="Times New Roman" w:hAnsi="Times New Roman" w:cs="Times New Roman"/>
        </w:rPr>
        <w:fldChar w:fldCharType="separate"/>
      </w:r>
      <w:bookmarkStart w:id="177" w:name="__Fieldmark__2040_1687356023"/>
      <w:bookmarkStart w:id="178" w:name="__Fieldmark__1673_2073936654"/>
      <w:r w:rsidR="00C00A10" w:rsidRPr="007C17A6">
        <w:rPr>
          <w:rFonts w:ascii="Times New Roman" w:hAnsi="Times New Roman" w:cs="Times New Roman"/>
          <w:noProof/>
          <w:color w:val="000000" w:themeColor="text1"/>
          <w:sz w:val="24"/>
          <w:szCs w:val="24"/>
          <w:lang w:val="en-GB" w:eastAsia="zh-CN"/>
        </w:rPr>
        <w:t>(Bookheimer, 2002; Carota et al., 2017; Posner and Pavese, 1998; Schomers and Pulvermüller, 2016; Tate et al., 2014)</w:t>
      </w:r>
      <w:r w:rsidRPr="007C17A6">
        <w:rPr>
          <w:rFonts w:ascii="Times New Roman" w:hAnsi="Times New Roman" w:cs="Times New Roman"/>
        </w:rPr>
        <w:fldChar w:fldCharType="end"/>
      </w:r>
      <w:bookmarkStart w:id="179" w:name="__Fieldmark__2308_531023477"/>
      <w:bookmarkEnd w:id="177"/>
      <w:bookmarkEnd w:id="178"/>
      <w:bookmarkEnd w:id="179"/>
      <w:r w:rsidRPr="007C17A6">
        <w:rPr>
          <w:rFonts w:ascii="Times New Roman" w:hAnsi="Times New Roman" w:cs="Times New Roman"/>
          <w:color w:val="000000" w:themeColor="text1"/>
          <w:sz w:val="24"/>
          <w:szCs w:val="24"/>
          <w:lang w:eastAsia="zh-CN"/>
        </w:rPr>
        <w:t>. Our model</w:t>
      </w:r>
      <w:r w:rsidR="00136E73" w:rsidRPr="007C17A6">
        <w:rPr>
          <w:rFonts w:ascii="Times New Roman" w:hAnsi="Times New Roman" w:cs="Times New Roman"/>
          <w:color w:val="000000" w:themeColor="text1"/>
          <w:sz w:val="24"/>
          <w:szCs w:val="24"/>
          <w:lang w:eastAsia="zh-CN"/>
        </w:rPr>
        <w:t>, therefore,</w:t>
      </w:r>
      <w:r w:rsidRPr="007C17A6">
        <w:rPr>
          <w:rFonts w:ascii="Times New Roman" w:hAnsi="Times New Roman" w:cs="Times New Roman"/>
          <w:color w:val="000000" w:themeColor="text1"/>
          <w:sz w:val="24"/>
          <w:szCs w:val="24"/>
          <w:lang w:eastAsia="zh-CN"/>
        </w:rPr>
        <w:t xml:space="preserve"> </w:t>
      </w:r>
      <w:r w:rsidR="00172357" w:rsidRPr="007C17A6">
        <w:rPr>
          <w:rFonts w:ascii="Times New Roman" w:hAnsi="Times New Roman" w:cs="Times New Roman"/>
          <w:color w:val="000000" w:themeColor="text1"/>
          <w:sz w:val="24"/>
          <w:szCs w:val="24"/>
          <w:lang w:eastAsia="zh-CN"/>
        </w:rPr>
        <w:t xml:space="preserve">fits (and </w:t>
      </w:r>
      <w:r w:rsidR="004003A1" w:rsidRPr="007C17A6">
        <w:rPr>
          <w:rFonts w:ascii="Times New Roman" w:hAnsi="Times New Roman" w:cs="Times New Roman"/>
          <w:color w:val="000000" w:themeColor="text1"/>
          <w:sz w:val="24"/>
          <w:szCs w:val="24"/>
          <w:lang w:eastAsia="zh-CN"/>
        </w:rPr>
        <w:t xml:space="preserve">explains) </w:t>
      </w:r>
      <w:r w:rsidR="00462D2B" w:rsidRPr="007C17A6">
        <w:rPr>
          <w:rFonts w:ascii="Times New Roman" w:hAnsi="Times New Roman" w:cs="Times New Roman"/>
          <w:color w:val="000000" w:themeColor="text1"/>
          <w:sz w:val="24"/>
          <w:szCs w:val="24"/>
          <w:lang w:eastAsia="zh-CN"/>
        </w:rPr>
        <w:t xml:space="preserve">data </w:t>
      </w:r>
      <w:r w:rsidR="004003A1" w:rsidRPr="007C17A6">
        <w:rPr>
          <w:rFonts w:ascii="Times New Roman" w:hAnsi="Times New Roman" w:cs="Times New Roman"/>
          <w:color w:val="000000" w:themeColor="text1"/>
          <w:sz w:val="24"/>
          <w:szCs w:val="24"/>
          <w:lang w:eastAsia="zh-CN"/>
        </w:rPr>
        <w:t xml:space="preserve">indicating the presence of </w:t>
      </w:r>
      <w:r w:rsidRPr="007C17A6">
        <w:rPr>
          <w:rFonts w:ascii="Times New Roman" w:hAnsi="Times New Roman" w:cs="Times New Roman"/>
          <w:color w:val="000000" w:themeColor="text1"/>
          <w:sz w:val="24"/>
          <w:szCs w:val="24"/>
          <w:lang w:eastAsia="zh-CN"/>
        </w:rPr>
        <w:t>frontal and temporal semantic hub areas</w:t>
      </w:r>
      <w:r w:rsidR="00D13CA9" w:rsidRPr="007C17A6">
        <w:rPr>
          <w:rFonts w:ascii="Times New Roman" w:hAnsi="Times New Roman" w:cs="Times New Roman"/>
          <w:color w:val="000000" w:themeColor="text1"/>
          <w:sz w:val="24"/>
          <w:szCs w:val="24"/>
          <w:lang w:eastAsia="zh-CN"/>
        </w:rPr>
        <w:t>,</w:t>
      </w:r>
      <w:r w:rsidRPr="007C17A6">
        <w:rPr>
          <w:rFonts w:ascii="Times New Roman" w:hAnsi="Times New Roman" w:cs="Times New Roman"/>
          <w:color w:val="000000" w:themeColor="text1"/>
          <w:sz w:val="24"/>
          <w:szCs w:val="24"/>
          <w:lang w:eastAsia="zh-CN"/>
        </w:rPr>
        <w:t xml:space="preserve"> </w:t>
      </w:r>
      <w:r w:rsidR="004003A1" w:rsidRPr="007C17A6">
        <w:rPr>
          <w:rFonts w:ascii="Times New Roman" w:hAnsi="Times New Roman" w:cs="Times New Roman"/>
          <w:color w:val="000000" w:themeColor="text1"/>
          <w:sz w:val="24"/>
          <w:szCs w:val="24"/>
          <w:lang w:eastAsia="zh-CN"/>
        </w:rPr>
        <w:t xml:space="preserve">thus </w:t>
      </w:r>
      <w:r w:rsidR="00D13CA9" w:rsidRPr="007C17A6">
        <w:rPr>
          <w:rFonts w:ascii="Times New Roman" w:hAnsi="Times New Roman" w:cs="Times New Roman"/>
          <w:color w:val="000000" w:themeColor="text1"/>
          <w:sz w:val="24"/>
          <w:szCs w:val="24"/>
          <w:lang w:eastAsia="zh-CN"/>
        </w:rPr>
        <w:t xml:space="preserve">reconciling </w:t>
      </w:r>
      <w:r w:rsidR="004003A1" w:rsidRPr="007C17A6">
        <w:rPr>
          <w:rFonts w:ascii="Times New Roman" w:hAnsi="Times New Roman" w:cs="Times New Roman"/>
          <w:noProof/>
          <w:color w:val="000000" w:themeColor="text1"/>
          <w:sz w:val="24"/>
          <w:szCs w:val="24"/>
          <w:lang w:eastAsia="zh-CN"/>
        </w:rPr>
        <w:t>extant</w:t>
      </w:r>
      <w:r w:rsidR="004003A1" w:rsidRPr="007C17A6">
        <w:rPr>
          <w:rFonts w:ascii="Times New Roman" w:hAnsi="Times New Roman" w:cs="Times New Roman"/>
          <w:color w:val="000000" w:themeColor="text1"/>
          <w:sz w:val="24"/>
          <w:szCs w:val="24"/>
          <w:lang w:eastAsia="zh-CN"/>
        </w:rPr>
        <w:t xml:space="preserve"> experimental </w:t>
      </w:r>
      <w:r w:rsidR="00462D2B" w:rsidRPr="007C17A6">
        <w:rPr>
          <w:rFonts w:ascii="Times New Roman" w:hAnsi="Times New Roman" w:cs="Times New Roman"/>
          <w:color w:val="000000" w:themeColor="text1"/>
          <w:sz w:val="24"/>
          <w:szCs w:val="24"/>
          <w:lang w:eastAsia="zh-CN"/>
        </w:rPr>
        <w:t>evidence</w:t>
      </w:r>
      <w:r w:rsidR="004003A1" w:rsidRPr="007C17A6">
        <w:rPr>
          <w:rFonts w:ascii="Times New Roman" w:hAnsi="Times New Roman" w:cs="Times New Roman"/>
          <w:color w:val="000000" w:themeColor="text1"/>
          <w:sz w:val="24"/>
          <w:szCs w:val="24"/>
          <w:lang w:eastAsia="zh-CN"/>
        </w:rPr>
        <w:t xml:space="preserve"> for</w:t>
      </w:r>
      <w:r w:rsidR="00462D2B" w:rsidRPr="007C17A6">
        <w:rPr>
          <w:rFonts w:ascii="Times New Roman" w:hAnsi="Times New Roman" w:cs="Times New Roman"/>
          <w:color w:val="000000" w:themeColor="text1"/>
          <w:sz w:val="24"/>
          <w:szCs w:val="24"/>
          <w:lang w:eastAsia="zh-CN"/>
        </w:rPr>
        <w:t xml:space="preserve"> </w:t>
      </w:r>
      <w:r w:rsidR="00D13CA9" w:rsidRPr="007C17A6">
        <w:rPr>
          <w:rFonts w:ascii="Times New Roman" w:hAnsi="Times New Roman" w:cs="Times New Roman"/>
          <w:color w:val="000000" w:themeColor="text1"/>
          <w:sz w:val="24"/>
          <w:szCs w:val="24"/>
          <w:lang w:eastAsia="zh-CN"/>
        </w:rPr>
        <w:t xml:space="preserve">a </w:t>
      </w:r>
      <w:r w:rsidRPr="007C17A6">
        <w:rPr>
          <w:rFonts w:ascii="Times New Roman" w:hAnsi="Times New Roman" w:cs="Times New Roman"/>
          <w:color w:val="000000" w:themeColor="text1"/>
          <w:sz w:val="24"/>
          <w:szCs w:val="24"/>
          <w:lang w:eastAsia="zh-CN"/>
        </w:rPr>
        <w:t xml:space="preserve">range of regions </w:t>
      </w:r>
      <w:r w:rsidRPr="007C17A6">
        <w:rPr>
          <w:rFonts w:ascii="Times New Roman" w:hAnsi="Times New Roman" w:cs="Times New Roman"/>
          <w:noProof/>
          <w:color w:val="000000" w:themeColor="text1"/>
          <w:sz w:val="24"/>
          <w:szCs w:val="24"/>
          <w:lang w:eastAsia="zh-CN"/>
        </w:rPr>
        <w:t>generally</w:t>
      </w:r>
      <w:r w:rsidRPr="007C17A6">
        <w:rPr>
          <w:rFonts w:ascii="Times New Roman" w:hAnsi="Times New Roman" w:cs="Times New Roman"/>
          <w:color w:val="000000" w:themeColor="text1"/>
          <w:sz w:val="24"/>
          <w:szCs w:val="24"/>
          <w:lang w:eastAsia="zh-CN"/>
        </w:rPr>
        <w:t xml:space="preserve"> involved in conceptual processing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"10.1016/j.cortex.2011.04.006", "ISBN" : "0010-9452", "ISSN" : "00109452", "PMID" : "21621764", "abstract" : "Conceptual representations in long-term memory crucially contribute to perception and action, language and thought. However, the precise nature of these conceptual memory traces is discussed controversially. In particular, the grounding of concepts in the sensory and motor brain systems is the focus of a current debate. Here, we review theoretical accounts of the structure and neural basis of conceptual memory and evaluate them in light of recent empirical evidence. Models of conceptual processing can be distinguished along four dimensions: (i) amodal versus modality-specific, (ii) localist versus distributed, (iii) innate versus experience-dependent, and (iv) stable versus flexible. A systematic review of behavioral and neuroimaging studies in healthy participants along with brain-damaged patients will then be used to evaluate the competing theoretical approaches to conceptual representations. These findings indicate that concepts are flexible, distributed representations comprised of modality-specific conceptual features. Conceptual features are stored in distinct sensory and motor brain areas depending on specific sensory and motor experiences during concept acquisition. Three important controversial issues are highlighted, which require further clarification in future research: the existence of an amodal conceptual representation in the anterior temporal lobe, the causal role of sensory and motor activation for conceptual processing and the grounding of abstract concepts in perception and action. We argue that an embodiment view of conceptual representations realized as distributed sensory and motor cell assemblies that are complemented by supramodal integration brain circuits may serve as a theoretical framework to guide future research on concrete and abstract concepts. \u00a9 2011 Elsevier Srl.", "author" : [ { "dropping-particle" : "", "family" : "Kiefer", "given" : "Markus", "non-dropping-particle" : "", "parse-names" : false, "suffix" : "" }, { "dropping-particle" : "", "family" : "Pulverm\u00fcller", "given" : "Friedemann", "non-dropping-particle" : "", "parse-names" : false, "suffix" : "" } ], "container-title" : "Cortex", "edition" : "2011/05/31", "id" : "ITEM-1", "issue" : "7", "issued" : { "date-parts" : [ [ "2012" ] ] }, "language" : "eng", "note" : "Kiefer, Markus\nPulvermuller, Friedemann\nItaly\nCortex. 2012 Jul;48(7):805-25. doi: 10.1016/j.cortex.2011.04.006. Epub 2011 Apr 30.", "page" : "805-825", "title" : "Conceptual representations in mind and brain: Theoretical developments, current evidence and future directions", "type" : "article-journal", "volume" : "48" }, "uris" : [ "http://www.mendeley.com/documents/?uuid=c0e5dc9c-dff5-4a23-b091-1f6e99d2131c" ] }, { "id" : "ITEM-2", "itemData" : { "DOI" : "10.1016/j.tics.2013.06.004", "ISBN" : "1364-6613", "ISSN" : "13646613", "PMID" : "23932069", "abstract" : "How brain structures and neuronal circuits mechanistically underpin symbolic meaning has recently been elucidated by neuroimaging, neuropsychological, and neurocomputational research. Modality-specific 'embodied' mechanisms anchored in sensorimotor systems appear to be relevant, as are 'disembodied' mechanisms in multimodal areas. In this paper, four semantic mechanisms are proposed and spelt out at the level of neuronal circuits: referential semantics, which establishes links between symbols and the objects and actions they are used to speak about; combinatorial semantics, which enables the learning of symbolic meaning from context; emotional-affective semantics, which establishes links between signs and internal states of the body; and abstraction mechanisms for generalizing over a range of instances of semantic meaning. Referential, combinatorial, emotional-affective, and abstract semantics are complementary mechanisms, each necessary for processing meaning in mind and brain. \u00a9 2013 Elsevier Ltd.", "author" : [ { "dropping-particle" : "", "family" : "Pulverm\u00fcller", "given" : "Friedemann", "non-dropping-particle" : "", "parse-names" : false, "suffix" : "" } ], "container-title" : "Trends in Cognitive Sciences", "id" : "ITEM-2", "issue" : "9", "issued" : { "date-parts" : [ [ "2013", "9" ] ] }, "page" : "458-470", "title" : "How neurons make meaning: Brain mechanisms for embodied and abstract-symbolic semantics", "type" : "article-journal", "volume" : "17" }, "uris" : [ "http://www.mendeley.com/documents/?uuid=8877ae30-8f96-4672-817d-cb94622f89cb" ] } ], "mendeley" : { "formattedCitation" : "(Kiefer and Pulverm\u00fcller, 2012; Pulverm\u00fcller, 2013)", "manualFormatting" : "(for reviews, see Kiefer and Pulverm\u00fcller, 2012; Pulverm\u00fcller, 2013)", "plainTextFormattedCitation" : "(Kiefer and Pulverm\u00fcller, 2012; Pulverm\u00fcller, 2013)", "previouslyFormattedCitation" : "(Kiefer and Pulverm\u00fcller, 2012; Pulverm\u00fcller, 2013)" }, "properties" : {  }, "schema" : "https://github.com/citation-style-language/schema/raw/master/csl-citation.json" }</w:instrText>
      </w:r>
      <w:r w:rsidRPr="007C17A6">
        <w:rPr>
          <w:rFonts w:ascii="Times New Roman" w:hAnsi="Times New Roman" w:cs="Times New Roman"/>
        </w:rPr>
        <w:fldChar w:fldCharType="separate"/>
      </w:r>
      <w:bookmarkStart w:id="180" w:name="__Fieldmark__2050_1687356023"/>
      <w:r w:rsidRPr="007C17A6">
        <w:rPr>
          <w:rFonts w:ascii="Times New Roman" w:hAnsi="Times New Roman" w:cs="Times New Roman"/>
          <w:noProof/>
          <w:color w:val="000000" w:themeColor="text1"/>
          <w:sz w:val="24"/>
          <w:szCs w:val="24"/>
          <w:lang w:val="en-GB" w:eastAsia="zh-CN"/>
        </w:rPr>
        <w:t>(</w:t>
      </w:r>
      <w:bookmarkStart w:id="181" w:name="__Fieldmark__1681_2073936654"/>
      <w:r w:rsidRPr="007C17A6">
        <w:rPr>
          <w:rFonts w:ascii="Times New Roman" w:hAnsi="Times New Roman" w:cs="Times New Roman"/>
          <w:noProof/>
          <w:color w:val="000000" w:themeColor="text1"/>
          <w:sz w:val="24"/>
          <w:szCs w:val="24"/>
          <w:lang w:val="en-GB" w:eastAsia="zh-CN"/>
        </w:rPr>
        <w:t>for reviews, see Kiefer and Pulvermüller, 2012; Pulvermüller, 2013)</w:t>
      </w:r>
      <w:r w:rsidRPr="007C17A6">
        <w:rPr>
          <w:rFonts w:ascii="Times New Roman" w:hAnsi="Times New Roman" w:cs="Times New Roman"/>
        </w:rPr>
        <w:fldChar w:fldCharType="end"/>
      </w:r>
      <w:bookmarkStart w:id="182" w:name="__Fieldmark__2315_531023477"/>
      <w:bookmarkEnd w:id="180"/>
      <w:bookmarkEnd w:id="181"/>
      <w:bookmarkEnd w:id="182"/>
      <w:r w:rsidRPr="007C17A6">
        <w:rPr>
          <w:rFonts w:ascii="Times New Roman" w:hAnsi="Times New Roman" w:cs="Times New Roman"/>
          <w:color w:val="000000" w:themeColor="text1"/>
          <w:sz w:val="24"/>
          <w:szCs w:val="24"/>
          <w:lang w:val="en-GB" w:eastAsia="zh-CN"/>
        </w:rPr>
        <w:t xml:space="preserve">. </w:t>
      </w:r>
    </w:p>
    <w:p w14:paraId="584F7534" w14:textId="77777777" w:rsidR="00A838DC" w:rsidRPr="007C17A6" w:rsidRDefault="00E5421A" w:rsidP="00E740D6">
      <w:pPr>
        <w:pStyle w:val="Heading2"/>
        <w:spacing w:before="120" w:after="120" w:line="240" w:lineRule="auto"/>
        <w:contextualSpacing/>
        <w:rPr>
          <w:rFonts w:ascii="Times New Roman" w:hAnsi="Times New Roman" w:cs="Times New Roman"/>
          <w:b/>
          <w:color w:val="000000" w:themeColor="text1"/>
          <w:sz w:val="24"/>
          <w:szCs w:val="24"/>
          <w:lang w:eastAsia="zh-CN"/>
        </w:rPr>
      </w:pPr>
      <w:r w:rsidRPr="007C17A6">
        <w:rPr>
          <w:rFonts w:ascii="Times New Roman" w:hAnsi="Times New Roman" w:cs="Times New Roman"/>
          <w:b/>
          <w:color w:val="000000" w:themeColor="text1"/>
          <w:sz w:val="24"/>
          <w:szCs w:val="24"/>
          <w:lang w:eastAsia="zh-CN"/>
        </w:rPr>
        <w:t>Explaining category-specificity</w:t>
      </w:r>
    </w:p>
    <w:p w14:paraId="28451F54" w14:textId="3B6EEBA4" w:rsidR="00BC4956" w:rsidRPr="007C17A6" w:rsidRDefault="00E5421A" w:rsidP="008919F1">
      <w:pPr>
        <w:spacing w:before="120" w:after="120" w:line="240" w:lineRule="auto"/>
        <w:contextualSpacing/>
        <w:jc w:val="both"/>
        <w:rPr>
          <w:rFonts w:ascii="Times New Roman" w:hAnsi="Times New Roman" w:cs="Times New Roman"/>
          <w:color w:val="000000" w:themeColor="text1"/>
          <w:sz w:val="24"/>
          <w:szCs w:val="24"/>
          <w:lang w:val="en-GB" w:eastAsia="zh-CN"/>
        </w:rPr>
      </w:pPr>
      <w:r w:rsidRPr="007C17A6">
        <w:rPr>
          <w:rFonts w:ascii="Times New Roman" w:hAnsi="Times New Roman" w:cs="Times New Roman"/>
          <w:sz w:val="24"/>
          <w:szCs w:val="24"/>
          <w:lang w:val="en-GB" w:eastAsia="zh-CN"/>
        </w:rPr>
        <w:t xml:space="preserve">We </w:t>
      </w:r>
      <w:r w:rsidRPr="007C17A6">
        <w:rPr>
          <w:rFonts w:ascii="Times New Roman" w:hAnsi="Times New Roman" w:cs="Times New Roman"/>
          <w:noProof/>
          <w:sz w:val="24"/>
          <w:szCs w:val="24"/>
          <w:lang w:val="en-GB" w:eastAsia="zh-CN"/>
        </w:rPr>
        <w:t>modelled</w:t>
      </w:r>
      <w:r w:rsidRPr="007C17A6">
        <w:rPr>
          <w:rFonts w:ascii="Times New Roman" w:hAnsi="Times New Roman" w:cs="Times New Roman"/>
          <w:sz w:val="24"/>
          <w:szCs w:val="24"/>
          <w:lang w:val="en-GB" w:eastAsia="zh-CN"/>
        </w:rPr>
        <w:t xml:space="preserve"> the learning and processing of two different semantic categories: object- and action-related words. </w:t>
      </w:r>
      <w:r w:rsidRPr="007C17A6">
        <w:rPr>
          <w:rFonts w:ascii="Times New Roman" w:hAnsi="Times New Roman" w:cs="Times New Roman"/>
          <w:color w:val="000000" w:themeColor="text1"/>
          <w:sz w:val="24"/>
          <w:szCs w:val="24"/>
          <w:lang w:val="en-GB" w:eastAsia="zh-CN"/>
        </w:rPr>
        <w:t xml:space="preserve">The formation of semantic circuits </w:t>
      </w:r>
      <w:r w:rsidRPr="007C17A6">
        <w:rPr>
          <w:rFonts w:ascii="Times New Roman" w:hAnsi="Times New Roman" w:cs="Times New Roman"/>
          <w:noProof/>
          <w:color w:val="000000" w:themeColor="text1"/>
          <w:sz w:val="24"/>
          <w:szCs w:val="24"/>
          <w:lang w:val="en-GB" w:eastAsia="zh-CN"/>
        </w:rPr>
        <w:t>was driven</w:t>
      </w:r>
      <w:r w:rsidRPr="007C17A6">
        <w:rPr>
          <w:rFonts w:ascii="Times New Roman" w:hAnsi="Times New Roman" w:cs="Times New Roman"/>
          <w:color w:val="000000" w:themeColor="text1"/>
          <w:sz w:val="24"/>
          <w:szCs w:val="24"/>
          <w:lang w:val="en-GB" w:eastAsia="zh-CN"/>
        </w:rPr>
        <w:t xml:space="preserve"> by sensorimotor pattern information, involving visual cortex activity for object words and hand-motor cortex activity for action words. The respective other input system was activated with random noise to model the variable action output (visual input) in </w:t>
      </w:r>
      <w:r w:rsidR="00136E73" w:rsidRPr="007C17A6">
        <w:rPr>
          <w:rFonts w:ascii="Times New Roman" w:hAnsi="Times New Roman" w:cs="Times New Roman"/>
          <w:color w:val="000000" w:themeColor="text1"/>
          <w:sz w:val="24"/>
          <w:szCs w:val="24"/>
          <w:lang w:val="en-GB" w:eastAsia="zh-CN"/>
        </w:rPr>
        <w:t xml:space="preserve">the </w:t>
      </w:r>
      <w:r w:rsidRPr="007C17A6">
        <w:rPr>
          <w:rFonts w:ascii="Times New Roman" w:hAnsi="Times New Roman" w:cs="Times New Roman"/>
          <w:noProof/>
          <w:color w:val="000000" w:themeColor="text1"/>
          <w:sz w:val="24"/>
          <w:szCs w:val="24"/>
          <w:lang w:val="en-GB" w:eastAsia="zh-CN"/>
        </w:rPr>
        <w:t>context</w:t>
      </w:r>
      <w:r w:rsidRPr="007C17A6">
        <w:rPr>
          <w:rFonts w:ascii="Times New Roman" w:hAnsi="Times New Roman" w:cs="Times New Roman"/>
          <w:color w:val="000000" w:themeColor="text1"/>
          <w:sz w:val="24"/>
          <w:szCs w:val="24"/>
          <w:lang w:val="en-GB" w:eastAsia="zh-CN"/>
        </w:rPr>
        <w:t xml:space="preserve"> of specific visual objects (actions). Such uncorrelated noisy activity counters the </w:t>
      </w:r>
      <w:r w:rsidRPr="007C17A6">
        <w:rPr>
          <w:rFonts w:ascii="Times New Roman" w:hAnsi="Times New Roman" w:cs="Times New Roman"/>
          <w:noProof/>
          <w:color w:val="000000" w:themeColor="text1"/>
          <w:sz w:val="24"/>
          <w:szCs w:val="24"/>
          <w:lang w:val="en-GB" w:eastAsia="zh-CN"/>
        </w:rPr>
        <w:t>spontaneous</w:t>
      </w:r>
      <w:r w:rsidRPr="007C17A6">
        <w:rPr>
          <w:rFonts w:ascii="Times New Roman" w:hAnsi="Times New Roman" w:cs="Times New Roman"/>
          <w:color w:val="000000" w:themeColor="text1"/>
          <w:sz w:val="24"/>
          <w:szCs w:val="24"/>
          <w:lang w:val="en-GB" w:eastAsia="zh-CN"/>
        </w:rPr>
        <w:t xml:space="preserve"> extension of neuron circuits towards inactive areas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"author" : [ { "dropping-particle" : "", "family" : "Doursat", "given" : "Ren\u00e9", "non-dropping-particle" : "", "parse-names" : false, "suffix" : "" }, { "dropping-particle" : "", "family" : "Bienenstock", "given" : "Elie", "non-dropping-particle" : "", "parse-names" : false, "suffix" : "" } ], "id" : "ITEM-1", "issue" : "Icdl", "issued" : { "date-parts" : [ [ "2006" ] ] }, "publisher-place" : "Indiana University, Bloomington, Indiana", "title" : "Neocortical self-structuration as a basis for learning. 5th International conference on development and learning (ICDL) 2006", "type" : "paper-conference" }, "uris" : [ "http://www.mendeley.com/documents/?uuid=962b16e0-a9fc-4489-b025-306c11a23042" ] } ], "mendeley" : { "formattedCitation" : "(Doursat and Bienenstock, 2006)", "plainTextFormattedCitation" : "(Doursat and Bienenstock, 2006)", "previouslyFormattedCitation" : "(Doursat and Bienenstock, 2006)" }, "properties" : {  }, "schema" : "https://github.com/citation-style-language/schema/raw/master/csl-citation.json" }</w:instrText>
      </w:r>
      <w:r w:rsidRPr="007C17A6">
        <w:rPr>
          <w:rFonts w:ascii="Times New Roman" w:hAnsi="Times New Roman" w:cs="Times New Roman"/>
        </w:rPr>
        <w:fldChar w:fldCharType="separate"/>
      </w:r>
      <w:bookmarkStart w:id="183" w:name="__Fieldmark__2070_1687356023"/>
      <w:bookmarkStart w:id="184" w:name="__Fieldmark__2178_582625014"/>
      <w:bookmarkStart w:id="185" w:name="__Fieldmark__2329_531023477"/>
      <w:bookmarkStart w:id="186" w:name="__Fieldmark__1693_2073936654"/>
      <w:r w:rsidR="00C00A10" w:rsidRPr="007C17A6">
        <w:rPr>
          <w:rFonts w:ascii="Times New Roman" w:hAnsi="Times New Roman" w:cs="Times New Roman"/>
          <w:noProof/>
          <w:color w:val="000000" w:themeColor="text1"/>
          <w:sz w:val="24"/>
          <w:szCs w:val="24"/>
          <w:lang w:val="en-GB" w:eastAsia="zh-CN"/>
        </w:rPr>
        <w:t>(Doursat and Bienenstock, 2006)</w:t>
      </w:r>
      <w:r w:rsidRPr="007C17A6">
        <w:rPr>
          <w:rFonts w:ascii="Times New Roman" w:hAnsi="Times New Roman" w:cs="Times New Roman"/>
        </w:rPr>
        <w:fldChar w:fldCharType="end"/>
      </w:r>
      <w:bookmarkEnd w:id="183"/>
      <w:bookmarkEnd w:id="184"/>
      <w:bookmarkEnd w:id="185"/>
      <w:bookmarkEnd w:id="186"/>
      <w:r w:rsidRPr="007C17A6">
        <w:rPr>
          <w:rFonts w:ascii="Times New Roman" w:hAnsi="Times New Roman" w:cs="Times New Roman"/>
          <w:color w:val="000000" w:themeColor="text1"/>
          <w:sz w:val="24"/>
          <w:szCs w:val="24"/>
          <w:lang w:val="en-GB" w:eastAsia="zh-CN"/>
        </w:rPr>
        <w:t>. Notably,</w:t>
      </w:r>
      <w:r w:rsidRPr="007C17A6">
        <w:rPr>
          <w:rFonts w:ascii="Times New Roman" w:hAnsi="Times New Roman" w:cs="Times New Roman"/>
          <w:sz w:val="24"/>
          <w:szCs w:val="24"/>
          <w:lang w:val="en-GB" w:eastAsia="zh-CN"/>
        </w:rPr>
        <w:t xml:space="preserve"> as a consequence of the differential sensorimotor activation patterns,</w:t>
      </w:r>
      <w:r w:rsidRPr="007C17A6">
        <w:rPr>
          <w:rFonts w:ascii="Times New Roman" w:hAnsi="Times New Roman" w:cs="Times New Roman"/>
          <w:color w:val="000000" w:themeColor="text1"/>
          <w:sz w:val="24"/>
          <w:szCs w:val="24"/>
          <w:lang w:val="en-GB" w:eastAsia="zh-CN"/>
        </w:rPr>
        <w:t xml:space="preserve"> different circuit topographies developed across the areas for both word production and action or object recognition: circuits storing action-related information reached into the motor cortices </w:t>
      </w:r>
      <w:r w:rsidRPr="007C17A6">
        <w:rPr>
          <w:rFonts w:ascii="Times New Roman" w:hAnsi="Times New Roman" w:cs="Times New Roman"/>
          <w:color w:val="000000" w:themeColor="text1"/>
          <w:sz w:val="24"/>
          <w:szCs w:val="24"/>
          <w:lang w:val="en-GB"/>
        </w:rPr>
        <w:t>(M1</w:t>
      </w:r>
      <w:r w:rsidRPr="007C17A6">
        <w:rPr>
          <w:rFonts w:ascii="Times New Roman" w:hAnsi="Times New Roman" w:cs="Times New Roman"/>
          <w:color w:val="000000" w:themeColor="text1"/>
          <w:sz w:val="24"/>
          <w:szCs w:val="24"/>
          <w:vertAlign w:val="subscript"/>
          <w:lang w:val="en-GB"/>
        </w:rPr>
        <w:t>L</w:t>
      </w:r>
      <w:r w:rsidRPr="007C17A6">
        <w:rPr>
          <w:rFonts w:ascii="Times New Roman" w:hAnsi="Times New Roman" w:cs="Times New Roman"/>
          <w:color w:val="000000" w:themeColor="text1"/>
          <w:sz w:val="24"/>
          <w:szCs w:val="24"/>
          <w:lang w:val="en-GB"/>
        </w:rPr>
        <w:t>-PM</w:t>
      </w:r>
      <w:r w:rsidRPr="007C17A6">
        <w:rPr>
          <w:rFonts w:ascii="Times New Roman" w:hAnsi="Times New Roman" w:cs="Times New Roman"/>
          <w:color w:val="000000" w:themeColor="text1"/>
          <w:sz w:val="24"/>
          <w:szCs w:val="24"/>
          <w:vertAlign w:val="subscript"/>
          <w:lang w:val="en-GB"/>
        </w:rPr>
        <w:t>L</w:t>
      </w:r>
      <w:r w:rsidRPr="007C17A6">
        <w:rPr>
          <w:rFonts w:ascii="Times New Roman" w:hAnsi="Times New Roman" w:cs="Times New Roman"/>
          <w:color w:val="000000" w:themeColor="text1"/>
          <w:sz w:val="24"/>
          <w:szCs w:val="24"/>
          <w:lang w:val="en-GB"/>
        </w:rPr>
        <w:t>)</w:t>
      </w:r>
      <w:r w:rsidRPr="007C17A6">
        <w:rPr>
          <w:rFonts w:ascii="Times New Roman" w:hAnsi="Times New Roman" w:cs="Times New Roman"/>
          <w:color w:val="000000" w:themeColor="text1"/>
          <w:sz w:val="24"/>
          <w:szCs w:val="24"/>
          <w:lang w:val="en-GB" w:eastAsia="zh-CN"/>
        </w:rPr>
        <w:t xml:space="preserve"> but not or less into visual areas </w:t>
      </w:r>
      <w:r w:rsidRPr="007C17A6">
        <w:rPr>
          <w:rFonts w:ascii="Times New Roman" w:hAnsi="Times New Roman" w:cs="Times New Roman"/>
          <w:color w:val="000000" w:themeColor="text1"/>
          <w:sz w:val="24"/>
          <w:szCs w:val="24"/>
          <w:lang w:val="en-GB"/>
        </w:rPr>
        <w:t>(V1-TO),</w:t>
      </w:r>
      <w:r w:rsidRPr="007C17A6">
        <w:rPr>
          <w:rFonts w:ascii="Times New Roman" w:hAnsi="Times New Roman" w:cs="Times New Roman"/>
          <w:color w:val="000000" w:themeColor="text1"/>
          <w:sz w:val="24"/>
          <w:szCs w:val="24"/>
          <w:lang w:val="en-GB" w:eastAsia="zh-CN"/>
        </w:rPr>
        <w:t xml:space="preserve"> and vice versa for object words. </w:t>
      </w:r>
      <w:r w:rsidRPr="007C17A6">
        <w:rPr>
          <w:rFonts w:ascii="Times New Roman" w:hAnsi="Times New Roman" w:cs="Times New Roman"/>
          <w:sz w:val="24"/>
          <w:szCs w:val="24"/>
          <w:lang w:val="en-GB" w:eastAsia="zh-CN"/>
        </w:rPr>
        <w:t>Semantic circuits with different cortical topographies, which are a result of correlated neuronal activity in different sensorimotor areas during l</w:t>
      </w:r>
      <w:r w:rsidR="00D54BE4" w:rsidRPr="007C17A6">
        <w:rPr>
          <w:rFonts w:ascii="Times New Roman" w:hAnsi="Times New Roman" w:cs="Times New Roman"/>
          <w:sz w:val="24"/>
          <w:szCs w:val="24"/>
          <w:lang w:val="en-GB" w:eastAsia="zh-CN"/>
        </w:rPr>
        <w:t>anguage learning, can</w:t>
      </w:r>
      <w:r w:rsidR="00136E73" w:rsidRPr="007C17A6">
        <w:rPr>
          <w:rFonts w:ascii="Times New Roman" w:hAnsi="Times New Roman" w:cs="Times New Roman"/>
          <w:sz w:val="24"/>
          <w:szCs w:val="24"/>
          <w:lang w:val="en-GB" w:eastAsia="zh-CN"/>
        </w:rPr>
        <w:t xml:space="preserve"> </w:t>
      </w:r>
      <w:r w:rsidR="00136E73" w:rsidRPr="007C17A6">
        <w:rPr>
          <w:rFonts w:ascii="Times New Roman" w:hAnsi="Times New Roman" w:cs="Times New Roman"/>
          <w:noProof/>
          <w:sz w:val="24"/>
          <w:szCs w:val="24"/>
          <w:lang w:val="en-GB" w:eastAsia="zh-CN"/>
        </w:rPr>
        <w:t>therefore</w:t>
      </w:r>
      <w:r w:rsidRPr="007C17A6">
        <w:rPr>
          <w:rFonts w:ascii="Times New Roman" w:hAnsi="Times New Roman" w:cs="Times New Roman"/>
          <w:sz w:val="24"/>
          <w:szCs w:val="24"/>
          <w:lang w:val="en-GB" w:eastAsia="zh-CN"/>
        </w:rPr>
        <w:t xml:space="preserve"> explain the emergence of category-specific semantic contributions of different cortical areas.</w:t>
      </w:r>
      <w:r w:rsidRPr="007C17A6">
        <w:rPr>
          <w:rFonts w:ascii="Times New Roman" w:hAnsi="Times New Roman" w:cs="Times New Roman"/>
          <w:color w:val="000000" w:themeColor="text1"/>
          <w:sz w:val="24"/>
          <w:szCs w:val="24"/>
          <w:lang w:val="en-GB" w:eastAsia="zh-CN"/>
        </w:rPr>
        <w:t xml:space="preserve"> </w:t>
      </w:r>
    </w:p>
    <w:p w14:paraId="41038669" w14:textId="77777777" w:rsidR="00BC4956" w:rsidRPr="007C17A6" w:rsidRDefault="00BC4956" w:rsidP="008919F1">
      <w:pPr>
        <w:spacing w:before="120" w:after="120" w:line="240" w:lineRule="auto"/>
        <w:contextualSpacing/>
        <w:jc w:val="both"/>
        <w:rPr>
          <w:rFonts w:ascii="Times New Roman" w:hAnsi="Times New Roman" w:cs="Times New Roman"/>
          <w:color w:val="000000" w:themeColor="text1"/>
          <w:sz w:val="24"/>
          <w:szCs w:val="24"/>
          <w:lang w:val="en-GB" w:eastAsia="zh-CN"/>
        </w:rPr>
      </w:pPr>
    </w:p>
    <w:p w14:paraId="3F6DB065" w14:textId="24504A3E" w:rsidR="004876EF" w:rsidRPr="007C17A6" w:rsidRDefault="00E5421A" w:rsidP="008919F1">
      <w:pPr>
        <w:spacing w:before="120" w:after="120" w:line="240" w:lineRule="auto"/>
        <w:contextualSpacing/>
        <w:jc w:val="both"/>
        <w:rPr>
          <w:rFonts w:ascii="Times New Roman" w:hAnsi="Times New Roman" w:cs="Times New Roman"/>
          <w:color w:val="000000" w:themeColor="text1"/>
          <w:sz w:val="24"/>
          <w:szCs w:val="24"/>
          <w:lang w:val="en-GB"/>
        </w:rPr>
      </w:pPr>
      <w:r w:rsidRPr="007C17A6">
        <w:rPr>
          <w:rFonts w:ascii="Times New Roman" w:hAnsi="Times New Roman" w:cs="Times New Roman"/>
          <w:color w:val="000000" w:themeColor="text1"/>
          <w:sz w:val="24"/>
          <w:szCs w:val="24"/>
          <w:lang w:val="en-GB" w:eastAsia="zh-CN"/>
        </w:rPr>
        <w:t>We take this observation as a proof-of-concept that the present type of spiking</w:t>
      </w:r>
      <w:r w:rsidR="00500D7B" w:rsidRPr="007C17A6">
        <w:rPr>
          <w:rFonts w:ascii="Times New Roman" w:hAnsi="Times New Roman" w:cs="Times New Roman"/>
          <w:color w:val="000000" w:themeColor="text1"/>
          <w:sz w:val="24"/>
          <w:szCs w:val="24"/>
          <w:lang w:val="en-GB" w:eastAsia="zh-CN"/>
        </w:rPr>
        <w:t xml:space="preserve"> and jumping</w:t>
      </w:r>
      <w:r w:rsidRPr="007C17A6">
        <w:rPr>
          <w:rFonts w:ascii="Times New Roman" w:hAnsi="Times New Roman" w:cs="Times New Roman"/>
          <w:color w:val="000000" w:themeColor="text1"/>
          <w:sz w:val="24"/>
          <w:szCs w:val="24"/>
          <w:lang w:val="en-GB" w:eastAsia="zh-CN"/>
        </w:rPr>
        <w:t xml:space="preserve"> network is capable of spontaneously developing semantic-category specificity</w:t>
      </w:r>
      <w:r w:rsidR="00E7460D" w:rsidRPr="007C17A6">
        <w:rPr>
          <w:rFonts w:ascii="Times New Roman" w:hAnsi="Times New Roman" w:cs="Times New Roman"/>
          <w:color w:val="000000" w:themeColor="text1"/>
          <w:sz w:val="24"/>
          <w:szCs w:val="24"/>
          <w:lang w:val="en-GB" w:eastAsia="zh-CN"/>
        </w:rPr>
        <w:t xml:space="preserve"> replicating</w:t>
      </w:r>
      <w:r w:rsidR="00697AF7" w:rsidRPr="007C17A6">
        <w:rPr>
          <w:rFonts w:ascii="Times New Roman" w:hAnsi="Times New Roman" w:cs="Times New Roman"/>
          <w:color w:val="000000" w:themeColor="text1"/>
          <w:sz w:val="24"/>
          <w:szCs w:val="24"/>
          <w:lang w:val="en-GB" w:eastAsia="zh-CN"/>
        </w:rPr>
        <w:t xml:space="preserve"> a number of studies revealing </w:t>
      </w:r>
      <w:r w:rsidRPr="007C17A6">
        <w:rPr>
          <w:rFonts w:ascii="Times New Roman" w:hAnsi="Times New Roman" w:cs="Times New Roman"/>
          <w:color w:val="000000" w:themeColor="text1"/>
          <w:sz w:val="24"/>
          <w:szCs w:val="24"/>
          <w:lang w:val="en-GB" w:eastAsia="zh-CN"/>
        </w:rPr>
        <w:t>neuroimaging and neuropsychological dissociations betwe</w:t>
      </w:r>
      <w:r w:rsidR="00D54BE4" w:rsidRPr="007C17A6">
        <w:rPr>
          <w:rFonts w:ascii="Times New Roman" w:hAnsi="Times New Roman" w:cs="Times New Roman"/>
          <w:color w:val="000000" w:themeColor="text1"/>
          <w:sz w:val="24"/>
          <w:szCs w:val="24"/>
          <w:lang w:val="en-GB" w:eastAsia="zh-CN"/>
        </w:rPr>
        <w:t>en action verbs and object noun</w:t>
      </w:r>
      <w:r w:rsidR="00AF0844" w:rsidRPr="007C17A6">
        <w:rPr>
          <w:rFonts w:ascii="Times New Roman" w:hAnsi="Times New Roman" w:cs="Times New Roman"/>
          <w:color w:val="000000" w:themeColor="text1"/>
          <w:sz w:val="24"/>
          <w:szCs w:val="24"/>
          <w:lang w:val="en-GB" w:eastAsia="zh-CN"/>
        </w:rPr>
        <w:t>s</w:t>
      </w:r>
      <w:r w:rsidRPr="007C17A6">
        <w:rPr>
          <w:rFonts w:ascii="Times New Roman" w:hAnsi="Times New Roman" w:cs="Times New Roman"/>
          <w:color w:val="000000" w:themeColor="text1"/>
          <w:sz w:val="24"/>
          <w:szCs w:val="24"/>
          <w:lang w:val="en-GB" w:eastAsia="zh-CN"/>
        </w:rPr>
        <w:t xml:space="preserve"> or between nouns sub-categories related to animals and tools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"10.1073/pnas.90.11.4957", "ISBN" : "0027-8424 (Print)\\r0027-8424 (Linking)", "ISSN" : "0027-8424", "PMID" : "8506341", "abstract" : "In a task designed to elicit the production of verbs, the patients known as AN-1033 and Boswell consistently produced the correct target words, performing no differently from normal controls. However, in a similar task designed to elicit the production of nouns, both patients performed quite defectively, and their scores were many SDs below those of controls. Language processing was otherwise normal--i.e., there were no impairments in grammar, morphology, phonetic implementation, or prosody; reading and writing were normal. In a third patient (KJ-1360), we obtained the reverse outcome--i.e., retrieval of common and proper nouns was preserved, but verb retrieval was defective. Together, the findings in the three patients constitute a double dissociation between noun and verb retrieval. In AN-1033 and Boswell, the lesions are located outside the so-called language areas (left frontoparietal operculum, posterior temporal region, inferior parietal lobule), where damage is associated with aphasia. The region of damage shared by the two patients is in left anterior and middle temporal lobe. This sector of left hemisphere contains systems for the retrieval of nouns that denote concrete entities. We propose that those systems are not essential for the retrieval of verbs and not involved in the vocal implementation of word forms. Those systems perform a two-way lexical-mediation role for concrete nouns and promote the reconstruction of a word form after the processing of sensory-motor characteristics of the entity denoted by that word. The findings in patient KJ-1360, whose lesion is in left premotor cortex, suggest that equivalent mediation systems for verbs are located in the left frontal region.", "author" : [ { "dropping-particle" : "", "family" : "Damasio", "given" : "A R", "non-dropping-particle" : "", "parse-names" : false, "suffix" : "" }, { "dropping-particle" : "", "family" : "Tranel", "given" : "D", "non-dropping-particle" : "", "parse-names" : false, "suffix" : "" } ], "container-title" : "Proceedings of the National Academy of Sciences of the United States of America", "id" : "ITEM-1", "issue" : "11", "issued" : { "date-parts" : [ [ "1993" ] ] }, "note" : "thee patients - 2 with specific verb deficit, 1 with specific noun deficit. frontal lesion -&amp;gt; verb impairment; temporal lesion -&amp;gt; noun deficit\nReprint Status: In File", "page" : "4957-60", "title" : "Nouns and verbs are retrieved with differently distributed neural systems.", "type" : "article-journal", "volume" : "90" }, "uris" : [ "http://www.mendeley.com/documents/?uuid=64b2fb49-3ceb-4b37-a9cf-8d258c368ab2" ] }, { "id" : "ITEM-2", "itemData" : { "DOI" : "10.1016/j.bandl.2014.03.001", "ISBN" : "0093-934X", "ISSN" : "10902155", "PMID" : "24727103", "abstract" : "Noun/verb dissociations in the literature defy interpretation due to the confound between lexical category and semantic meaning; nouns and verbs typically describe concrete objects and actions. Abstract words, pertaining to neither, are a critical test case: dissociations along lexical-grammatical lines would support models purporting lexical category as the principle governing brain organisation, whilst semantic models predict dissociation between concrete words but not abstract items. During fMRI scanning, participants read orthogonalised word categories of nouns and verbs, with or without concrete, sensorimotor meaning. Analysis of inferior frontal/insula, precentral and central areas revealed an interaction between lexical class and semantic factors with clear category differences between concrete nouns and verbs but not abstract ones. Though the brain stores the combinatorial and lexical-grammatical properties of words, our data show that topographical differences in brain activation, especially in the motor system and inferior frontal cortex, are driven by semantics and not by lexical class. ?? 2014 The Authors.", "author" : [ { "dropping-particle" : "", "family" : "Moseley", "given" : "Rachel L.", "non-dropping-particle" : "", "parse-names" : false, "suffix" : "" }, { "dropping-particle" : "", "family" : "Pulverm\u00fcller", "given" : "Friedemann", "non-dropping-particle" : "", "parse-names" : false, "suffix" : "" } ], "container-title" : "Brain and Language", "id" : "ITEM-2", "issued" : { "date-parts" : [ [ "2014", "5" ] ] }, "page" : "28-42", "publisher" : "Elsevier Inc.", "title" : "Nouns, verbs, objects, actions, and abstractions: Local fMRI activity indexes semantics, not lexical categories", "type" : "article-journal", "volume" : "132" }, "uris" : [ "http://www.mendeley.com/documents/?uuid=c4e10f11-5f57-44e4-b503-cc85af8d228f" ] }, { "id" : "ITEM-3", "itemData" : { "DOI" : "10.3758/s13423-014-0784-1", "ISSN" : "1531-5320", "abstract" : "One of the most controversial issues in the cognitive neuroscience literature on concepts is whether the motor features of verb meanings are represented in the precentral motor cortices. Much of this debate stems from the fact that the empirical data are mixed with regard to (1) whether action verbs engage the precentral motor cortices in the predicted ways, (2) whether that engagement is automatic, and (3) whether it is essential for comprehension. I argue that the available data can best be accommodated by theoretical models which assume that conceptual knowledge is underpinned by a flexible, multilevel architecture that includes not only low-level modality-specific systems for perception, action, and emotion, but also high-level cross-modal convergence/divergence zones, as well as the statistical co-occurrence patterns of word-forms across discourses. From the perspective of such pluralistic approaches, the motor features of verb meanings are indeed represented in the precentral motor cortices, but their retrieval is modulated by task and context and is not always necessary for word comprehension.", "author" : [ { "dropping-particle" : "", "family" : "Kemmerer", "given" : "David", "non-dropping-particle" : "", "parse-names" : false, "suffix" : "" } ], "container-title" : "Psychonomic Bulletin &amp; Review", "id" : "ITEM-3", "issue" : "4", "issued" : { "date-parts" : [ [ "2015" ] ] }, "page" : "1068-1075", "title" : "Are the motor features of verb meanings represented in the precentral motor cortices? Yes, but within the context of a flexible, multilevel architecture for conceptual knowledge", "type" : "article-journal", "volume" : "22" }, "uris" : [ "http://www.mendeley.com/documents/?uuid=6a509179-d0cd-443d-bcfd-b12319a0d0ec", "http://www.mendeley.com/documents/?uuid=f5b10404-5fab-457b-a483-4ee3f64234d9", "http://www.mendeley.com/documents/?uuid=1fd59b28-c753-435a-a6ab-2e0997b08010" ] }, { "id" : "ITEM-4", "itemData" : { "DOI" : "10.1038/379649a0", "ISSN" : "00280836", "abstract" : "An intriguing and puzzling consequence of damage to the human brain is selective loss of knowledge about a specific category of objects. One patient may be unable to identify or name living things, whereas another may have selective difficulty identifying man-made objects. To investigate the neural correlates of this remarkable dissociation, we used positron emission tomography to map regions of the normal brain that are associated with naming animals and tools. We found that naming pictures of animals and tools was associated with bilateral activation of the ventral temporal lobes and Broca's area. In addition, naming animals selectively activated the left medial occipital lobe - a region involved in the earliest stages of visual processing. In contrast, naming tools selectively activated a left premotor area also activated by imagined hand movements, and an area in the left middle temporal gyrus also activated by the generation of action words. Thus the brain regions active during object identification are dependent, in part, on the intrinsic properties of the object presented.", "author" : [ { "dropping-particle" : "", "family" : "Martin", "given" : "A.", "non-dropping-particle" : "", "parse-names" : false, "suffix" : "" }, { "dropping-particle" : "", "family" : "Wiggs", "given" : "C.L.", "non-dropping-particle" : "", "parse-names" : false, "suffix" : "" }, { "dropping-particle" : "", "family" : "Ungerleider", "given" : "L.G.", "non-dropping-particle" : "", "parse-names" : false, "suffix" : "" }, { "dropping-particle" : "", "family" : "Haxby", "given" : "J.V.", "non-dropping-particle" : "", "parse-names" : false, "suffix" : "" } ], "container-title" : "Nature", "id" : "ITEM-4", "issue" : "6566", "issued" : { "date-parts" : [ [ "1996" ] ] }, "note" : "animal vs. tool names - nouns - matched for wrd frequency and &amp;quot;typicallity&amp;quot; - naming task also noise pictures and &amp;quot;non-objects&amp;quot; - differences between tools and animals: tools stronger activity in medial temporal and prefrontal (hand area) cortices; animals stronger activity in occipital (primary and higher) cortices - conclusions on object identification\nReprint Status: In File", "page" : "649-652", "title" : "Neural correlates of category-specific knowledge", "type" : "article-journal", "volume" : "379" }, "uris" : [ "http://www.mendeley.com/documents/?uuid=712f96a2-dc25-4570-bb31-c4902d602cee" ] }, { "id" : "ITEM-5", "itemData" : { "DOI" : "10.1146/annurev.psych.57.102904.190143", "ISBN" : "0066-4308 (Print)", "ISSN" : "0066-4308", "PMID" : "16968210", "abstract" : "Abstract Evidence from functional neuroimaging of the human brain indicates that information about salient properties of an object\u9225\u6515uch as what it looks like, how it moves, and how it is used\u9225\u650as stored in sensory and motor systems active when that information was acquired. As a result, object concepts belonging to different categories like animals and tools are represented in partially distinct, sensory- and motor property\u9225\u63f5ased neural networks. This suggests that object concepts are not explicitly represented, but rather emerge from weighted activity within property-based brain regions. However, some property-based regions seem to show a categorical organization, thus providing evidence consistent with category-based, domain-specific formulations as well.", "author" : [ { "dropping-particle" : "", "family" : "Martin", "given" : "Alex", "non-dropping-particle" : "", "parse-names" : false, "suffix" : "" } ], "container-title" : "Annual Review of Psychology", "id" : "ITEM-5", "issue" : "1", "issued" : { "date-parts" : [ [ "2007", "1" ] ] }, "page" : "25-45", "title" : "The Representation of Object Concepts in the Brain", "type" : "article-journal", "volume" : "58" }, "uris" : [ "http://www.mendeley.com/documents/?uuid=db08a7fb-2cdb-4124-aaa2-b396e87dc763" ] } ], "mendeley" : { "formattedCitation" : "(Damasio and Tranel, 1993; Kemmerer, 2015; Martin, 2007; Martin et al., 1996; Moseley and Pulverm\u00fcller, 2014)", "plainTextFormattedCitation" : "(Damasio and Tranel, 1993; Kemmerer, 2015; Martin, 2007; Martin et al., 1996; Moseley and Pulverm\u00fcller, 2014)", "previouslyFormattedCitation" : "(Damasio and Tranel, 1993; Kemmerer, 2015; Martin, 2007; Martin et al., 1996; Moseley and Pulverm\u00fcller, 2014)" }, "properties" : {  }, "schema" : "https://github.com/citation-style-language/schema/raw/master/csl-citation.json" }</w:instrText>
      </w:r>
      <w:r w:rsidRPr="007C17A6">
        <w:rPr>
          <w:rFonts w:ascii="Times New Roman" w:hAnsi="Times New Roman" w:cs="Times New Roman"/>
        </w:rPr>
        <w:fldChar w:fldCharType="separate"/>
      </w:r>
      <w:bookmarkStart w:id="187" w:name="__Fieldmark__2096_1687356023"/>
      <w:bookmarkStart w:id="188" w:name="__Fieldmark__2209_582625014"/>
      <w:bookmarkStart w:id="189" w:name="__Fieldmark__2358_531023477"/>
      <w:bookmarkStart w:id="190" w:name="__Fieldmark__1716_2073936654"/>
      <w:r w:rsidR="00A81FE9" w:rsidRPr="007C17A6">
        <w:rPr>
          <w:rFonts w:ascii="Times New Roman" w:hAnsi="Times New Roman" w:cs="Times New Roman"/>
          <w:noProof/>
          <w:color w:val="000000" w:themeColor="text1"/>
          <w:sz w:val="24"/>
          <w:szCs w:val="24"/>
          <w:lang w:val="en-GB" w:eastAsia="zh-CN"/>
        </w:rPr>
        <w:t>(Damasio and Tranel, 1993; Kemmerer, 2015; Martin, 2007; Martin et al., 1996; Moseley and Pulvermüller, 2014)</w:t>
      </w:r>
      <w:r w:rsidRPr="007C17A6">
        <w:rPr>
          <w:rFonts w:ascii="Times New Roman" w:hAnsi="Times New Roman" w:cs="Times New Roman"/>
        </w:rPr>
        <w:fldChar w:fldCharType="end"/>
      </w:r>
      <w:bookmarkEnd w:id="187"/>
      <w:bookmarkEnd w:id="188"/>
      <w:bookmarkEnd w:id="189"/>
      <w:bookmarkEnd w:id="190"/>
      <w:r w:rsidRPr="007C17A6">
        <w:rPr>
          <w:rFonts w:ascii="Times New Roman" w:hAnsi="Times New Roman" w:cs="Times New Roman"/>
          <w:noProof/>
          <w:color w:val="000000" w:themeColor="text1"/>
          <w:sz w:val="24"/>
          <w:szCs w:val="24"/>
          <w:lang w:val="en-GB" w:eastAsia="zh-CN"/>
        </w:rPr>
        <w:t xml:space="preserve">. </w:t>
      </w:r>
      <w:r w:rsidRPr="007C17A6">
        <w:rPr>
          <w:rFonts w:ascii="Times New Roman" w:hAnsi="Times New Roman" w:cs="Times New Roman"/>
          <w:noProof/>
          <w:color w:val="000000" w:themeColor="text1"/>
          <w:sz w:val="24"/>
          <w:szCs w:val="24"/>
          <w:lang w:val="en-GB"/>
        </w:rPr>
        <w:t>Interestingly</w:t>
      </w:r>
      <w:r w:rsidRPr="007C17A6">
        <w:rPr>
          <w:rFonts w:ascii="Times New Roman" w:hAnsi="Times New Roman" w:cs="Times New Roman"/>
          <w:color w:val="000000" w:themeColor="text1"/>
          <w:sz w:val="24"/>
          <w:szCs w:val="24"/>
          <w:lang w:val="en-GB"/>
        </w:rPr>
        <w:t xml:space="preserve">, some category specificity was revealed in the semantic hubs, although it was </w:t>
      </w:r>
      <w:r w:rsidRPr="007C17A6">
        <w:rPr>
          <w:rFonts w:ascii="Times New Roman" w:hAnsi="Times New Roman" w:cs="Times New Roman"/>
          <w:color w:val="000000" w:themeColor="text1"/>
          <w:sz w:val="24"/>
          <w:szCs w:val="24"/>
          <w:lang w:val="en-GB"/>
        </w:rPr>
        <w:lastRenderedPageBreak/>
        <w:t>less pronounced compared with pr</w:t>
      </w:r>
      <w:r w:rsidR="00D54BE4" w:rsidRPr="007C17A6">
        <w:rPr>
          <w:rFonts w:ascii="Times New Roman" w:hAnsi="Times New Roman" w:cs="Times New Roman"/>
          <w:color w:val="000000" w:themeColor="text1"/>
          <w:sz w:val="24"/>
          <w:szCs w:val="24"/>
          <w:lang w:val="en-GB"/>
        </w:rPr>
        <w:t>imary and secondary areas. This</w:t>
      </w:r>
      <w:r w:rsidRPr="007C17A6">
        <w:rPr>
          <w:rFonts w:ascii="Times New Roman" w:hAnsi="Times New Roman" w:cs="Times New Roman"/>
          <w:color w:val="000000" w:themeColor="text1"/>
          <w:sz w:val="24"/>
          <w:szCs w:val="24"/>
          <w:lang w:val="en-GB"/>
        </w:rPr>
        <w:t xml:space="preserve"> area </w:t>
      </w:r>
      <w:r w:rsidRPr="007C17A6">
        <w:rPr>
          <w:rFonts w:ascii="Times New Roman" w:hAnsi="Times New Roman" w:cs="Times New Roman"/>
          <w:noProof/>
          <w:color w:val="000000" w:themeColor="text1"/>
          <w:sz w:val="24"/>
          <w:szCs w:val="24"/>
          <w:lang w:val="en-GB"/>
        </w:rPr>
        <w:t>category</w:t>
      </w:r>
      <w:r w:rsidR="00136E73" w:rsidRPr="007C17A6">
        <w:rPr>
          <w:rFonts w:ascii="Times New Roman" w:hAnsi="Times New Roman" w:cs="Times New Roman"/>
          <w:noProof/>
          <w:color w:val="000000" w:themeColor="text1"/>
          <w:sz w:val="24"/>
          <w:szCs w:val="24"/>
          <w:lang w:val="en-GB"/>
        </w:rPr>
        <w:t>-</w:t>
      </w:r>
      <w:r w:rsidRPr="007C17A6">
        <w:rPr>
          <w:rFonts w:ascii="Times New Roman" w:hAnsi="Times New Roman" w:cs="Times New Roman"/>
          <w:noProof/>
          <w:color w:val="000000" w:themeColor="text1"/>
          <w:sz w:val="24"/>
          <w:szCs w:val="24"/>
          <w:lang w:val="en-GB"/>
        </w:rPr>
        <w:t>specific</w:t>
      </w:r>
      <w:r w:rsidRPr="007C17A6">
        <w:rPr>
          <w:rFonts w:ascii="Times New Roman" w:hAnsi="Times New Roman" w:cs="Times New Roman"/>
          <w:color w:val="000000" w:themeColor="text1"/>
          <w:sz w:val="24"/>
          <w:szCs w:val="24"/>
          <w:lang w:val="en-GB"/>
        </w:rPr>
        <w:t xml:space="preserve"> activation predicted by the model (Fig 4) seems to be of graded nature, with stronger category effect in the primary areas than in </w:t>
      </w:r>
      <w:r w:rsidRPr="007C17A6">
        <w:rPr>
          <w:rFonts w:ascii="Times New Roman" w:hAnsi="Times New Roman" w:cs="Times New Roman"/>
          <w:noProof/>
          <w:color w:val="000000" w:themeColor="text1"/>
          <w:sz w:val="24"/>
          <w:szCs w:val="24"/>
          <w:lang w:val="en-GB"/>
        </w:rPr>
        <w:t>secondary</w:t>
      </w:r>
      <w:r w:rsidRPr="007C17A6">
        <w:rPr>
          <w:rFonts w:ascii="Times New Roman" w:hAnsi="Times New Roman" w:cs="Times New Roman"/>
          <w:color w:val="000000" w:themeColor="text1"/>
          <w:sz w:val="24"/>
          <w:szCs w:val="24"/>
          <w:lang w:val="en-GB"/>
        </w:rPr>
        <w:t xml:space="preserve"> areas and stronger in the secondary than in the hub </w:t>
      </w:r>
      <w:r w:rsidRPr="007C17A6">
        <w:rPr>
          <w:rFonts w:ascii="Times New Roman" w:hAnsi="Times New Roman" w:cs="Times New Roman"/>
          <w:noProof/>
          <w:color w:val="000000" w:themeColor="text1"/>
          <w:sz w:val="24"/>
          <w:szCs w:val="24"/>
          <w:lang w:val="en-GB"/>
        </w:rPr>
        <w:t>areas</w:t>
      </w:r>
      <w:r w:rsidRPr="007C17A6">
        <w:rPr>
          <w:rFonts w:ascii="Times New Roman" w:hAnsi="Times New Roman" w:cs="Times New Roman"/>
          <w:color w:val="000000" w:themeColor="text1"/>
          <w:sz w:val="24"/>
          <w:szCs w:val="24"/>
          <w:lang w:val="en-GB"/>
        </w:rPr>
        <w:t xml:space="preserve"> and awaits experimental validations. The moderate category specificity predicted in the semantic hub areas </w:t>
      </w:r>
      <w:r w:rsidR="00963B7C" w:rsidRPr="007C17A6">
        <w:rPr>
          <w:rFonts w:ascii="Times New Roman" w:hAnsi="Times New Roman" w:cs="Times New Roman"/>
          <w:color w:val="000000" w:themeColor="text1"/>
          <w:sz w:val="24"/>
          <w:szCs w:val="24"/>
          <w:lang w:val="en-GB"/>
        </w:rPr>
        <w:t>is</w:t>
      </w:r>
      <w:r w:rsidRPr="007C17A6">
        <w:rPr>
          <w:rFonts w:ascii="Times New Roman" w:hAnsi="Times New Roman" w:cs="Times New Roman"/>
          <w:color w:val="000000" w:themeColor="text1"/>
          <w:sz w:val="24"/>
          <w:szCs w:val="24"/>
          <w:lang w:val="en-GB"/>
        </w:rPr>
        <w:t xml:space="preserve"> in line with recent evidence that semantic dementia patients due to anterior-temporal lesion show category-specific semantic impairments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"10.1162/jocn.2009.21339", "ISBN" : "0898-929X", "ISSN" : "0898-929X", "PMID" : "19722916", "abstract" : "It has been claimed that semantic dementia (SD), the temporal variant of fronto-temporal dementia, is characterized by an across-the-board deficit affecting all types of conceptual knowledge. We here confirm this generalized deficit but also report differential degrees of impairment in processing specific semantic word categories in a case series of SD patients (N = 11). Within the domain of words with strong visually grounded meaning, the patients' lexical decision accuracy was more impaired for color-related than for form-related words. Likewise, within the domain of action verbs, the patients' performance was worse for words referring to face movements and speech acts than for words semantically linked to actions performed with the hand and arm. Psycholinguistic properties were matched between the stimulus groups entering these contrasts; an explanation for the differential degrees of impairment must therefore involve semantic features of the words in the different conditions. Furthermore, this specific pattern of deficits cannot be captured by classic category distinctions such as nouns versus verbs or living versus nonliving things. Evidence from previous neuroimaging research indicates that color- and face/speech-related words, respectively, draw most heavily on anterior-temporal and inferior-frontal areas, the structures most affected in SD. Our account combines (a) the notion of an anterior-temporal amodal semantic \"hub\" to explain the profound across-the-board deficit in SD word processing, with (b) a semantic topography model of category-specific circuits whose cortical distributions reflect semantic features of the words and concepts represented.", "author" : [ { "dropping-particle" : "", "family" : "Pulverm\u00fcller", "given" : "Friedemann", "non-dropping-particle" : "", "parse-names" : false, "suffix" : "" }, { "dropping-particle" : "", "family" : "Cooper-Pye", "given" : "Elisa", "non-dropping-particle" : "", "parse-names" : false, "suffix" : "" }, { "dropping-particle" : "", "family" : "Dine", "given" : "Clare", "non-dropping-particle" : "", "parse-names" : false, "suffix" : "" }, { "dropping-particle" : "", "family" : "Hauk", "given" : "Olaf", "non-dropping-particle" : "", "parse-names" : false, "suffix" : "" }, { "dropping-particle" : "", "family" : "Nestor", "given" : "Peter J", "non-dropping-particle" : "", "parse-names" : false, "suffix" : "" }, { "dropping-particle" : "", "family" : "Patterson", "given" : "Karalyn", "non-dropping-particle" : "", "parse-names" : false, "suffix" : "" } ], "container-title" : "Journal of cognitive neuroscience", "id" : "ITEM-1", "issued" : { "date-parts" : [ [ "2010" ] ] }, "page" : "2027-2041", "title" : "The word processing deficit in semantic dementia: all categories are equal, but some categories are more equal than others.", "type" : "article-journal", "volume" : "22" }, "uris" : [ "http://www.mendeley.com/documents/?uuid=613093fc-a208-4d94-a913-238ffad656d6" ] }, { "id" : "ITEM-2", "itemData" : { "DOI" : "http://dx.doi.org/10.1016/j.cortex.2011.06.019", "ISSN" : "0010-9452", "abstract" : "To account for the selective, progressive and multimodal conceptual disruption observed in semantic dementia (SD), Patterson et\u00a0al., 2007 have proposed that the neural network for semantic memory cannot consist of a \u2018distributed only\u2019 system, but requires a single convergence zone or \u2018hub\u2019 that supports the interactive activation of representations in all modalities and for all semantic categories. This \u2018semantic hub\u2019 should be bilaterally supported by anterior regions of the temporal lobes (ATL) and contain amodal representations. However, anatomo-clinical data show that it is only in the moderate to advanced stages of the disease, when atrophy affects the ATL bilaterally, that the semantic impairment is \u2018multi-modal\u2019, whereas in its early stages, when important asymmetries can be observed at the level of the ATL, the semantic impairment can be modality-specific. In these cases, it mainly affects the lexical-semantic knowledge when the left temporal lobe is more atrophic and the pictorial representations when the atrophy prevails on the right side. In different sections of our position paper we review: (a) the lines of research suggesting that in lateralized forms of SD the semantic impairment is modality-specific; (b) other data suggesting a prevalent involvement of the left TL in verbal and of the right TL in pictorial/sensory aspects of conceptual knowledge; (c) recent data supporting respectively the model of a bilateral amodal semantic hub and that of two lateralized, modality-specific semantic networks. Taken together, the surveyed data suggest that the semantic disorder observed in SD is due to the co-occurrence of verbal and non-verbal defects, resulting from left and right ATL atrophy and that the multimodal semantic impairment observed in advanced stages of SD is due to the joint disruption of pictorial and verbal representations, rather than to the loss of an amodal knowledge, bilaterally supported by the ATL.", "author" : [ { "dropping-particle" : "", "family" : "Gainotti", "given" : "Guido", "non-dropping-particle" : "", "parse-names" : false, "suffix" : "" } ], "container-title" : "Cortex", "id" : "ITEM-2", "issue" : "5", "issued" : { "date-parts" : [ [ "2012", "5" ] ] }, "page" : "521-529", "title" : "The format of conceptual representations disrupted in semantic dementia: A position paper", "type" : "article-journal", "volume" : "48" }, "uris" : [ "http://www.mendeley.com/documents/?uuid=0288618b-15bb-45c9-95d5-263af4ce7802" ] }, { "id" : "ITEM-3", "itemData" : { "DOI" : "10.1016/j.cortex.2017.04.016", "ISSN" : "00109452", "abstract" : "There is general agreement that perisylvian language cortex plays a major role in lexical and semantic processing; but the contribution of additional, more widespread, brain areas in the processing of different semantic word categories remains controversial. We investigated word processing in two groups of patients whose neurodegenerative diseases preferentially affect specific parts of the brain, to determine whether their performance would vary as a function of semantic categories proposed to recruit those brain regions. Cohorts with (i) Semantic Dementia (SD), who have anterior temporal-lobe atrophy, and (ii) Posterior Cortical Atrophy (PCA), who have predominantly parieto-occipital atrophy, performed a lexical decision test on words from five different lexico-semantic categories: colour (e.g., yellow), form (oval), number (seven), spatial prepositions (under) and function words (also). Sets of pseudo-word foils matched the target words in length and bi-/tri-gram frequency. Word-frequency was matched between the two visual word categories (colour and form) and across the three other categories (number, prepositions, function words). Age-matched healthy individuals served as controls. Although broad word processing deficits were apparent in both patient groups, the deficit was strongest for colour words in SD and for spatial prepositions in PCA. The patterns of performance on the lexical decision task demonstrate (a) general lexicosemantic processing deficits in both groups, though more prominent in SD than in PCA, and (b) differential involvement of anterior-temporal and posterior-parietal cortex in the processing of specific semantic categories of words.", "author" : [ { "dropping-particle" : "", "family" : "Shebani", "given" : "Zubaida", "non-dropping-particle" : "", "parse-names" : false, "suffix" : "" }, { "dropping-particle" : "", "family" : "Patterson", "given" : "Karalyn", "non-dropping-particle" : "", "parse-names" : false, "suffix" : "" }, { "dropping-particle" : "", "family" : "Nestor", "given" : "Peter J.", "non-dropping-particle" : "", "parse-names" : false, "suffix" : "" }, { "dropping-particle" : "", "family" : "Diaz-de-Grenu", "given" : "Lara Z.", "non-dropping-particle" : "", "parse-names" : false, "suffix" : "" }, { "dropping-particle" : "", "family" : "Dawson", "given" : "Kate", "non-dropping-particle" : "", "parse-names" : false, "suffix" : "" }, { "dropping-particle" : "", "family" : "Pulverm\u00fcller", "given" : "Friedemann", "non-dropping-particle" : "", "parse-names" : false, "suffix" : "" } ], "container-title" : "Cortex", "id" : "ITEM-3", "issue" : "in press", "issued" : { "date-parts" : [ [ "2017" ] ] }, "title" : "Semantic Word Category Processing in Semantic Dementia and Posterior Cortical Atrophy", "type" : "article-journal", "volume" : "in press" }, "uris" : [ "http://www.mendeley.com/documents/?uuid=0b4c188a-fb85-4200-a5a2-d5989897e3a1" ] } ], "mendeley" : { "formattedCitation" : "(Gainotti, 2012; Pulverm\u00fcller et al., 2010; Shebani et al., 2017)", "plainTextFormattedCitation" : "(Gainotti, 2012; Pulverm\u00fcller et al., 2010; Shebani et al., 2017)", "previouslyFormattedCitation" : "(Gainotti, 2012; Pulverm\u00fcller et al., 2010; Shebani et al., 2017)" }, "properties" : {  }, "schema" : "https://github.com/citation-style-language/schema/raw/master/csl-citation.json" }</w:instrText>
      </w:r>
      <w:r w:rsidRPr="007C17A6">
        <w:rPr>
          <w:rFonts w:ascii="Times New Roman" w:hAnsi="Times New Roman" w:cs="Times New Roman"/>
        </w:rPr>
        <w:fldChar w:fldCharType="separate"/>
      </w:r>
      <w:bookmarkStart w:id="191" w:name="__Fieldmark__2132_1687356023"/>
      <w:bookmarkStart w:id="192" w:name="__Fieldmark__2229_582625014"/>
      <w:bookmarkStart w:id="193" w:name="__Fieldmark__1730_2073936654"/>
      <w:bookmarkStart w:id="194" w:name="__Fieldmark__2368_531023477"/>
      <w:r w:rsidR="00C00A10" w:rsidRPr="007C17A6">
        <w:rPr>
          <w:rFonts w:ascii="Times New Roman" w:hAnsi="Times New Roman" w:cs="Times New Roman"/>
          <w:noProof/>
          <w:color w:val="000000" w:themeColor="text1"/>
          <w:sz w:val="24"/>
          <w:szCs w:val="24"/>
          <w:lang w:val="en-GB"/>
        </w:rPr>
        <w:t>(Gainotti, 2012; Pulvermüller et al., 2010; Shebani et al., 2017)</w:t>
      </w:r>
      <w:r w:rsidRPr="007C17A6">
        <w:rPr>
          <w:rFonts w:ascii="Times New Roman" w:hAnsi="Times New Roman" w:cs="Times New Roman"/>
        </w:rPr>
        <w:fldChar w:fldCharType="end"/>
      </w:r>
      <w:bookmarkEnd w:id="191"/>
      <w:bookmarkEnd w:id="192"/>
      <w:bookmarkEnd w:id="193"/>
      <w:bookmarkEnd w:id="194"/>
      <w:r w:rsidRPr="007C17A6">
        <w:rPr>
          <w:rFonts w:ascii="Times New Roman" w:hAnsi="Times New Roman" w:cs="Times New Roman"/>
          <w:color w:val="000000" w:themeColor="text1"/>
        </w:rPr>
        <w:t xml:space="preserve">, </w:t>
      </w:r>
      <w:r w:rsidRPr="007C17A6">
        <w:rPr>
          <w:rFonts w:ascii="Times New Roman" w:hAnsi="Times New Roman" w:cs="Times New Roman"/>
          <w:color w:val="000000" w:themeColor="text1"/>
          <w:sz w:val="24"/>
        </w:rPr>
        <w:t xml:space="preserve">which </w:t>
      </w:r>
      <w:r w:rsidRPr="007C17A6">
        <w:rPr>
          <w:rFonts w:ascii="Times New Roman" w:hAnsi="Times New Roman" w:cs="Times New Roman"/>
          <w:color w:val="000000" w:themeColor="text1"/>
          <w:sz w:val="24"/>
          <w:szCs w:val="24"/>
          <w:lang w:val="en-GB"/>
        </w:rPr>
        <w:t>sit</w:t>
      </w:r>
      <w:r w:rsidR="00963B7C" w:rsidRPr="007C17A6">
        <w:rPr>
          <w:rFonts w:ascii="Times New Roman" w:hAnsi="Times New Roman" w:cs="Times New Roman"/>
          <w:color w:val="000000" w:themeColor="text1"/>
          <w:sz w:val="24"/>
          <w:szCs w:val="24"/>
          <w:lang w:val="en-GB"/>
        </w:rPr>
        <w:t>s</w:t>
      </w:r>
      <w:r w:rsidRPr="007C17A6">
        <w:rPr>
          <w:rFonts w:ascii="Times New Roman" w:hAnsi="Times New Roman" w:cs="Times New Roman"/>
          <w:color w:val="000000" w:themeColor="text1"/>
          <w:sz w:val="24"/>
          <w:szCs w:val="24"/>
          <w:lang w:val="en-GB"/>
        </w:rPr>
        <w:t xml:space="preserve"> less well with the suggested general-semantic function across all semantic types </w:t>
      </w:r>
      <w:r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"DOI" : "10.1038/nrn2277", "ISBN" : "1471-0048 (Electronic)\\n1471-003X (Linking)", "ISSN" : "1471-0048", "PMID" : "18026167", "abstract" : "Mr M, a patient with semantic dementia--a neurodegenerative disease that is characterized by the gradual deterioration of semantic memory--was being driven through the countryside to visit a friend and was able to remind his wife where to turn along the not-recently-travelled route. Then, pointing at the sheep in the field, he asked her \"What are those things?\" Prior to the onset of symptoms in his late 40s, this man had normal semantic memory. What has gone wrong in his brain to produce this dramatic and selective erosion of conceptual knowledge?", "author" : [ { "dropping-particle" : "", "family" : "Patterson", "given" : "Karalyn", "non-dropping-particle" : "", "parse-names" : false, "suffix" : "" }, { "dropping-particle" : "", "family" : "Nestor", "given" : "Peter J", "non-dropping-particle" : "", "parse-names" : false, "suffix" : "" }, { "dropping-particle" : "", "family" : "Rogers", "given" : "Timothy T", "non-dropping-particle" : "", "parse-names" : false, "suffix" : "" } ], "container-title" : "Nature reviews. Neuroscience", "id" : "ITEM-1", "issue" : "12", "issued" : { "date-parts" : [ [ "2007" ] ] }, "page" : "976-87", "title" : "Where do you know what you know? The representation of semantic knowledge in the human brain.", "type" : "article-journal", "volume" : "8" }, "uris" : [ "http://www.mendeley.com/documents/?uuid=e157aed2-0a91-41a6-ac4f-6835b10e583a" ] } ], "mendeley" : { "formattedCitation" : "(Patterson et al., 2007)", "plainTextFormattedCitation" : "(Patterson et al., 2007)", "previouslyFormattedCitation" : "(Patterson et al., 2007)" }, "properties" : {  }, "schema" : "https://github.com/citation-style-language/schema/raw/master/csl-citation.json" }</w:instrText>
      </w:r>
      <w:r w:rsidRPr="007C17A6">
        <w:rPr>
          <w:rFonts w:ascii="Times New Roman" w:hAnsi="Times New Roman" w:cs="Times New Roman"/>
        </w:rPr>
        <w:fldChar w:fldCharType="separate"/>
      </w:r>
      <w:bookmarkStart w:id="195" w:name="__Fieldmark__2147_1687356023"/>
      <w:bookmarkStart w:id="196" w:name="__Fieldmark__2236_582625014"/>
      <w:bookmarkStart w:id="197" w:name="__Fieldmark__2377_531023477"/>
      <w:bookmarkStart w:id="198" w:name="__Fieldmark__1743_2073936654"/>
      <w:r w:rsidR="00C00A10" w:rsidRPr="007C17A6">
        <w:rPr>
          <w:rFonts w:ascii="Times New Roman" w:hAnsi="Times New Roman" w:cs="Times New Roman"/>
          <w:noProof/>
          <w:color w:val="000000" w:themeColor="text1"/>
          <w:sz w:val="24"/>
          <w:szCs w:val="24"/>
          <w:lang w:val="en-GB"/>
        </w:rPr>
        <w:t>(Patterson et al., 2007)</w:t>
      </w:r>
      <w:r w:rsidRPr="007C17A6">
        <w:rPr>
          <w:rFonts w:ascii="Times New Roman" w:hAnsi="Times New Roman" w:cs="Times New Roman"/>
        </w:rPr>
        <w:fldChar w:fldCharType="end"/>
      </w:r>
      <w:bookmarkEnd w:id="195"/>
      <w:bookmarkEnd w:id="196"/>
      <w:bookmarkEnd w:id="197"/>
      <w:bookmarkEnd w:id="198"/>
      <w:r w:rsidRPr="007C17A6">
        <w:rPr>
          <w:rFonts w:ascii="Times New Roman" w:hAnsi="Times New Roman" w:cs="Times New Roman"/>
          <w:color w:val="000000" w:themeColor="text1"/>
          <w:sz w:val="24"/>
          <w:szCs w:val="24"/>
          <w:lang w:val="en-GB"/>
        </w:rPr>
        <w:t xml:space="preserve">. </w:t>
      </w:r>
    </w:p>
    <w:p w14:paraId="43A6E235" w14:textId="77777777" w:rsidR="004876EF" w:rsidRPr="007C17A6" w:rsidRDefault="004876EF" w:rsidP="008919F1">
      <w:pPr>
        <w:spacing w:before="120" w:after="120" w:line="240" w:lineRule="auto"/>
        <w:contextualSpacing/>
        <w:jc w:val="both"/>
        <w:rPr>
          <w:rFonts w:ascii="Times New Roman" w:hAnsi="Times New Roman" w:cs="Times New Roman"/>
          <w:color w:val="000000" w:themeColor="text1"/>
          <w:sz w:val="24"/>
          <w:szCs w:val="24"/>
          <w:lang w:val="en-GB"/>
        </w:rPr>
      </w:pPr>
    </w:p>
    <w:p w14:paraId="1AC3C8DD" w14:textId="5E7F07A2" w:rsidR="00A54311" w:rsidRPr="007C17A6" w:rsidRDefault="0021118E" w:rsidP="004876EF">
      <w:pPr>
        <w:spacing w:before="120" w:after="120" w:line="240" w:lineRule="auto"/>
        <w:contextualSpacing/>
        <w:jc w:val="both"/>
        <w:rPr>
          <w:rFonts w:ascii="Times New Roman" w:hAnsi="Times New Roman" w:cs="Times New Roman"/>
          <w:color w:val="auto"/>
          <w:sz w:val="24"/>
          <w:szCs w:val="24"/>
          <w:lang w:val="en-GB"/>
        </w:rPr>
      </w:pPr>
      <w:r w:rsidRPr="007C17A6">
        <w:rPr>
          <w:rFonts w:ascii="Times New Roman" w:hAnsi="Times New Roman" w:cs="Times New Roman"/>
          <w:color w:val="000000" w:themeColor="text1"/>
          <w:sz w:val="24"/>
          <w:szCs w:val="24"/>
          <w:lang w:val="en-GB"/>
        </w:rPr>
        <w:t>It needs</w:t>
      </w:r>
      <w:r w:rsidR="00697AF7" w:rsidRPr="007C17A6">
        <w:rPr>
          <w:rFonts w:ascii="Times New Roman" w:hAnsi="Times New Roman" w:cs="Times New Roman"/>
          <w:color w:val="000000" w:themeColor="text1"/>
          <w:sz w:val="24"/>
          <w:szCs w:val="24"/>
          <w:lang w:val="en-GB"/>
        </w:rPr>
        <w:t xml:space="preserve"> to</w:t>
      </w:r>
      <w:r w:rsidRPr="007C17A6">
        <w:rPr>
          <w:rFonts w:ascii="Times New Roman" w:hAnsi="Times New Roman" w:cs="Times New Roman"/>
          <w:color w:val="000000" w:themeColor="text1"/>
          <w:sz w:val="24"/>
          <w:szCs w:val="24"/>
          <w:lang w:val="en-GB"/>
        </w:rPr>
        <w:t xml:space="preserve"> </w:t>
      </w:r>
      <w:r w:rsidRPr="007C17A6">
        <w:rPr>
          <w:rFonts w:ascii="Times New Roman" w:hAnsi="Times New Roman" w:cs="Times New Roman"/>
          <w:noProof/>
          <w:color w:val="000000" w:themeColor="text1"/>
          <w:sz w:val="24"/>
          <w:szCs w:val="24"/>
          <w:lang w:val="en-GB"/>
        </w:rPr>
        <w:t>be</w:t>
      </w:r>
      <w:r w:rsidR="00697AF7" w:rsidRPr="007C17A6">
        <w:rPr>
          <w:rFonts w:ascii="Times New Roman" w:hAnsi="Times New Roman" w:cs="Times New Roman"/>
          <w:noProof/>
          <w:color w:val="000000" w:themeColor="text1"/>
          <w:sz w:val="24"/>
          <w:szCs w:val="24"/>
          <w:lang w:val="en-GB"/>
        </w:rPr>
        <w:t xml:space="preserve"> emphasized</w:t>
      </w:r>
      <w:r w:rsidR="00697AF7" w:rsidRPr="007C17A6">
        <w:rPr>
          <w:rFonts w:ascii="Times New Roman" w:hAnsi="Times New Roman" w:cs="Times New Roman"/>
          <w:color w:val="000000" w:themeColor="text1"/>
          <w:sz w:val="24"/>
          <w:szCs w:val="24"/>
          <w:lang w:val="en-GB"/>
        </w:rPr>
        <w:t xml:space="preserve"> </w:t>
      </w:r>
      <w:r w:rsidRPr="007C17A6">
        <w:rPr>
          <w:rFonts w:ascii="Times New Roman" w:hAnsi="Times New Roman" w:cs="Times New Roman"/>
          <w:color w:val="000000" w:themeColor="text1"/>
          <w:sz w:val="24"/>
          <w:szCs w:val="24"/>
          <w:lang w:val="en-GB"/>
        </w:rPr>
        <w:t>that</w:t>
      </w:r>
      <w:r w:rsidR="009A0AB5" w:rsidRPr="007C17A6">
        <w:rPr>
          <w:rFonts w:ascii="Times New Roman" w:hAnsi="Times New Roman" w:cs="Times New Roman"/>
          <w:color w:val="000000" w:themeColor="text1"/>
          <w:sz w:val="24"/>
          <w:szCs w:val="24"/>
          <w:lang w:val="en-GB"/>
        </w:rPr>
        <w:t xml:space="preserve"> most previous studies on semantics </w:t>
      </w:r>
      <w:r w:rsidR="0083572A" w:rsidRPr="007C17A6">
        <w:rPr>
          <w:rFonts w:ascii="Times New Roman" w:hAnsi="Times New Roman" w:cs="Times New Roman"/>
          <w:noProof/>
          <w:color w:val="000000" w:themeColor="text1"/>
          <w:sz w:val="24"/>
          <w:szCs w:val="24"/>
          <w:lang w:val="en-GB"/>
        </w:rPr>
        <w:t>ha</w:t>
      </w:r>
      <w:r w:rsidR="00A27B5E" w:rsidRPr="007C17A6">
        <w:rPr>
          <w:rFonts w:ascii="Times New Roman" w:hAnsi="Times New Roman" w:cs="Times New Roman"/>
          <w:noProof/>
          <w:color w:val="000000" w:themeColor="text1"/>
          <w:sz w:val="24"/>
          <w:szCs w:val="24"/>
          <w:lang w:val="en-GB"/>
        </w:rPr>
        <w:t>ve</w:t>
      </w:r>
      <w:r w:rsidR="009A0AB5" w:rsidRPr="007C17A6">
        <w:rPr>
          <w:rFonts w:ascii="Times New Roman" w:hAnsi="Times New Roman" w:cs="Times New Roman"/>
          <w:color w:val="000000" w:themeColor="text1"/>
          <w:sz w:val="24"/>
          <w:szCs w:val="24"/>
          <w:lang w:val="en-GB"/>
        </w:rPr>
        <w:t xml:space="preserve"> investigated action and object words taken from natural languages, </w:t>
      </w:r>
      <w:r w:rsidR="008919F1" w:rsidRPr="007C17A6">
        <w:rPr>
          <w:rFonts w:ascii="Times New Roman" w:hAnsi="Times New Roman" w:cs="Times New Roman"/>
          <w:noProof/>
          <w:sz w:val="24"/>
          <w:szCs w:val="24"/>
        </w:rPr>
        <w:t>focusing mostly on the noun-verb distinction,</w:t>
      </w:r>
      <w:r w:rsidR="008919F1" w:rsidRPr="007C17A6">
        <w:rPr>
          <w:rFonts w:ascii="Times New Roman" w:hAnsi="Times New Roman" w:cs="Times New Roman"/>
          <w:color w:val="000000" w:themeColor="text1"/>
          <w:sz w:val="24"/>
          <w:szCs w:val="24"/>
          <w:lang w:val="en-GB"/>
        </w:rPr>
        <w:t xml:space="preserve"> </w:t>
      </w:r>
      <w:r w:rsidR="009A0AB5" w:rsidRPr="007C17A6">
        <w:rPr>
          <w:rFonts w:ascii="Times New Roman" w:hAnsi="Times New Roman" w:cs="Times New Roman"/>
          <w:color w:val="000000" w:themeColor="text1"/>
          <w:sz w:val="24"/>
          <w:szCs w:val="24"/>
          <w:lang w:val="en-GB"/>
        </w:rPr>
        <w:t xml:space="preserve">which makes it difficult to control for all psycholinguistic </w:t>
      </w:r>
      <w:r w:rsidR="00C722FB" w:rsidRPr="007C17A6">
        <w:rPr>
          <w:rFonts w:ascii="Times New Roman" w:hAnsi="Times New Roman" w:cs="Times New Roman"/>
          <w:color w:val="000000" w:themeColor="text1"/>
          <w:sz w:val="24"/>
          <w:szCs w:val="24"/>
          <w:lang w:val="en-GB"/>
        </w:rPr>
        <w:t xml:space="preserve">proprieties and </w:t>
      </w:r>
      <w:r w:rsidR="008919F1" w:rsidRPr="007C17A6">
        <w:rPr>
          <w:rFonts w:ascii="Times New Roman" w:hAnsi="Times New Roman" w:cs="Times New Roman"/>
          <w:color w:val="000000" w:themeColor="text1"/>
          <w:sz w:val="24"/>
          <w:szCs w:val="24"/>
          <w:lang w:val="en-GB"/>
        </w:rPr>
        <w:t>especially, when</w:t>
      </w:r>
      <w:r w:rsidR="00C722FB" w:rsidRPr="007C17A6">
        <w:rPr>
          <w:rFonts w:ascii="Times New Roman" w:hAnsi="Times New Roman" w:cs="Times New Roman"/>
          <w:color w:val="000000" w:themeColor="text1"/>
          <w:sz w:val="24"/>
          <w:szCs w:val="24"/>
          <w:lang w:val="en-GB"/>
        </w:rPr>
        <w:t xml:space="preserve"> these words were acquired </w:t>
      </w:r>
      <w:r w:rsidR="00C722FB" w:rsidRPr="007C17A6">
        <w:rPr>
          <w:rFonts w:ascii="Times New Roman" w:hAnsi="Times New Roman" w:cs="Times New Roman"/>
          <w:color w:val="000000" w:themeColor="text1"/>
          <w:sz w:val="24"/>
          <w:szCs w:val="24"/>
        </w:rPr>
        <w:fldChar w:fldCharType="begin" w:fldLock="1"/>
      </w:r>
      <w:r w:rsidR="007F4106" w:rsidRPr="007C17A6">
        <w:rPr>
          <w:rFonts w:ascii="Times New Roman" w:hAnsi="Times New Roman" w:cs="Times New Roman"/>
          <w:color w:val="000000" w:themeColor="text1"/>
          <w:sz w:val="24"/>
          <w:szCs w:val="24"/>
        </w:rPr>
        <w:instrText>ADDIN CSL_CITATION { "citationItems" : [ { "id" : "ITEM-1", "itemData" : { "DOI" : "10.1016/j.bandl.2014.03.001", "ISBN" : "0093-934X", "ISSN" : "10902155", "PMID" : "24727103", "abstract" : "Noun/verb dissociations in the literature defy interpretation due to the confound between lexical category and semantic meaning; nouns and verbs typically describe concrete objects and actions. Abstract words, pertaining to neither, are a critical test case: dissociations along lexical-grammatical lines would support models purporting lexical category as the principle governing brain organisation, whilst semantic models predict dissociation between concrete words but not abstract items. During fMRI scanning, participants read orthogonalised word categories of nouns and verbs, with or without concrete, sensorimotor meaning. Analysis of inferior frontal/insula, precentral and central areas revealed an interaction between lexical class and semantic factors with clear category differences between concrete nouns and verbs but not abstract ones. Though the brain stores the combinatorial and lexical-grammatical properties of words, our data show that topographical differences in brain activation, especially in the motor system and inferior frontal cortex, are driven by semantics and not by lexical class. ?? 2014 The Authors.", "author" : [ { "dropping-particle" : "", "family" : "Moseley", "given" : "Rachel L.", "non-dropping-particle" : "", "parse-names" : false, "suffix" : "" }, { "dropping-particle" : "", "family" : "Pulverm\u00fcller", "given" : "Friedemann", "non-dropping-particle" : "", "parse-names" : false, "suffix" : "" } ], "container-title" : "Brain and Language", "id" : "ITEM-1", "issued" : { "date-parts" : [ [ "2014", "5" ] ] }, "page" : "28-42", "publisher" : "Elsevier Inc.", "title" : "Nouns, verbs, objects, actions, and abstractions: Local fMRI activity indexes semantics, not lexical categories", "type" : "article-journal", "volume" : "132" }, "uris" : [ "http://www.mendeley.com/documents/?uuid=c4e10f11-5f57-44e4-b503-cc85af8d228f" ] } ], "mendeley" : { "formattedCitation" : "(Moseley and Pulverm\u00fcller, 2014)", "manualFormatting" : "(e.g. Moseley and Pulverm\u00fcller 2014)", "plainTextFormattedCitation" : "(Moseley and Pulverm\u00fcller, 2014)", "previouslyFormattedCitation" : "(Moseley and Pulverm\u00fcller, 2014)" }, "properties" : {  }, "schema" : "https://github.com/citation-style-language/schema/raw/master/csl-citation.json" }</w:instrText>
      </w:r>
      <w:r w:rsidR="00C722FB" w:rsidRPr="007C17A6">
        <w:rPr>
          <w:rFonts w:ascii="Times New Roman" w:hAnsi="Times New Roman" w:cs="Times New Roman"/>
          <w:color w:val="000000" w:themeColor="text1"/>
          <w:sz w:val="24"/>
          <w:szCs w:val="24"/>
        </w:rPr>
        <w:fldChar w:fldCharType="separate"/>
      </w:r>
      <w:r w:rsidR="00C722FB" w:rsidRPr="007C17A6">
        <w:rPr>
          <w:rFonts w:ascii="Times New Roman" w:hAnsi="Times New Roman" w:cs="Times New Roman"/>
          <w:noProof/>
          <w:color w:val="000000" w:themeColor="text1"/>
          <w:sz w:val="24"/>
          <w:szCs w:val="24"/>
        </w:rPr>
        <w:t>(e.g. Moseley and Pulvermüller 2014)</w:t>
      </w:r>
      <w:r w:rsidR="00C722FB" w:rsidRPr="007C17A6">
        <w:rPr>
          <w:rFonts w:ascii="Times New Roman" w:hAnsi="Times New Roman" w:cs="Times New Roman"/>
          <w:color w:val="000000" w:themeColor="text1"/>
          <w:sz w:val="24"/>
          <w:szCs w:val="24"/>
        </w:rPr>
        <w:fldChar w:fldCharType="end"/>
      </w:r>
      <w:r w:rsidR="00C722FB" w:rsidRPr="007C17A6">
        <w:rPr>
          <w:rFonts w:ascii="Times New Roman" w:hAnsi="Times New Roman" w:cs="Times New Roman"/>
          <w:color w:val="000000" w:themeColor="text1"/>
          <w:sz w:val="24"/>
          <w:szCs w:val="24"/>
        </w:rPr>
        <w:t xml:space="preserve">. </w:t>
      </w:r>
      <w:r w:rsidR="00A54311" w:rsidRPr="007C17A6">
        <w:rPr>
          <w:rFonts w:ascii="Times New Roman" w:hAnsi="Times New Roman" w:cs="Times New Roman"/>
          <w:color w:val="000000" w:themeColor="text1"/>
          <w:sz w:val="24"/>
          <w:szCs w:val="24"/>
        </w:rPr>
        <w:t xml:space="preserve">If we take our present </w:t>
      </w:r>
      <w:r w:rsidR="00BC4956" w:rsidRPr="007C17A6">
        <w:rPr>
          <w:rFonts w:ascii="Times New Roman" w:hAnsi="Times New Roman" w:cs="Times New Roman"/>
          <w:color w:val="000000" w:themeColor="text1"/>
          <w:sz w:val="24"/>
          <w:szCs w:val="24"/>
        </w:rPr>
        <w:t xml:space="preserve">simulations as </w:t>
      </w:r>
      <w:r w:rsidR="00A54311" w:rsidRPr="007C17A6">
        <w:rPr>
          <w:rFonts w:ascii="Times New Roman" w:hAnsi="Times New Roman" w:cs="Times New Roman"/>
          <w:color w:val="000000" w:themeColor="text1"/>
          <w:sz w:val="24"/>
          <w:szCs w:val="24"/>
        </w:rPr>
        <w:t>model</w:t>
      </w:r>
      <w:r w:rsidR="00BC4956" w:rsidRPr="007C17A6">
        <w:rPr>
          <w:rFonts w:ascii="Times New Roman" w:hAnsi="Times New Roman" w:cs="Times New Roman"/>
          <w:color w:val="000000" w:themeColor="text1"/>
          <w:sz w:val="24"/>
          <w:szCs w:val="24"/>
        </w:rPr>
        <w:t>s</w:t>
      </w:r>
      <w:r w:rsidR="00A54311" w:rsidRPr="007C17A6">
        <w:rPr>
          <w:rFonts w:ascii="Times New Roman" w:hAnsi="Times New Roman" w:cs="Times New Roman"/>
          <w:color w:val="000000" w:themeColor="text1"/>
          <w:sz w:val="24"/>
          <w:szCs w:val="24"/>
        </w:rPr>
        <w:t xml:space="preserve"> of concrete action verb vs object noun processing, there is a good fit with the data, as these semantically and lexically different word types tend to differentially activate motor regions or ventral visual areas respectively</w:t>
      </w:r>
      <w:r w:rsidR="00A81FE9" w:rsidRPr="007C17A6">
        <w:rPr>
          <w:rFonts w:ascii="Times New Roman" w:hAnsi="Times New Roman" w:cs="Times New Roman"/>
          <w:color w:val="000000" w:themeColor="text1"/>
          <w:sz w:val="24"/>
          <w:szCs w:val="24"/>
        </w:rPr>
        <w:t xml:space="preserve"> </w:t>
      </w:r>
      <w:r w:rsidR="00A81FE9" w:rsidRPr="007C17A6">
        <w:rPr>
          <w:rFonts w:ascii="Times New Roman" w:hAnsi="Times New Roman" w:cs="Times New Roman"/>
          <w:color w:val="000000" w:themeColor="text1"/>
          <w:sz w:val="24"/>
          <w:szCs w:val="24"/>
        </w:rPr>
        <w:fldChar w:fldCharType="begin" w:fldLock="1"/>
      </w:r>
      <w:r w:rsidR="007F4106" w:rsidRPr="007C17A6">
        <w:rPr>
          <w:rFonts w:ascii="Times New Roman" w:hAnsi="Times New Roman" w:cs="Times New Roman"/>
          <w:color w:val="000000" w:themeColor="text1"/>
          <w:sz w:val="24"/>
          <w:szCs w:val="24"/>
        </w:rPr>
        <w:instrText>ADDIN CSL_CITATION { "citationItems" : [ { "id" : "ITEM-1", "itemData" : { "DOI" : "10.1038/srep01928", "ISBN" : "2045-2322", "ISSN" : "2045-2322", "PMID" : "23732850", "abstract" : "Although semantic processing has traditionally been associated with brain responses maximal at 350-400\u2005ms, recent studies reported that words of different semantic types elicit topographically distinct brain responses substantially earlier, at 100-200\u2005ms. These earlier responses have, however, been achieved using insufficiently precise source localisation techniques, therefore casting doubt on reported differences in brain generators. Here, we used high-density MEG-EEG recordings in combination with individual MRI images and state-of-the-art source reconstruction techniques to compare localised early activations elicited by words from different semantic categories in different cortical areas. Reliable neurophysiological word-category dissociations emerged bilaterally at ~ 150\u2005ms, at which point action-related words most strongly activated frontocentral motor areas and visual object-words occipitotemporal cortex. These data now show that different cortical areas are activated rapidly by words with different meanings and that aspects of their category-specific semantics is reflected by dissociating neurophysiological sources in motor and visual brain systems.", "author" : [ { "dropping-particle" : "", "family" : "Moseley", "given" : "Rachel L", "non-dropping-particle" : "", "parse-names" : false, "suffix" : "" }, { "dropping-particle" : "", "family" : "Pulverm\u00fcller", "given" : "Friedemann", "non-dropping-particle" : "", "parse-names" : false, "suffix" : "" }, { "dropping-particle" : "", "family" : "Shtyrov", "given" : "Yury", "non-dropping-particle" : "", "parse-names" : false, "suffix" : "" } ], "container-title" : "Scientific reports", "edition" : "2013/06/05", "id" : "ITEM-1", "issued" : { "date-parts" : [ [ "2013" ] ] }, "language" : "eng", "note" : "Moseley, Rachel L\nPulvermuller, Friedemann\nShtyrov, Yury\nMC_A060_5PQ90/Medical Research Council/United Kingdom\nMC_U105580445/Medical Research Council/United Kingdom\nMC_US_A060_0034/Medical Research Council/United Kingdom\nU1055.04.003.00001.01/Medical Research Council/United Kingdom\nEngland\nSci Rep. 2013;3:1928. doi: 10.1038/srep01928.", "page" : "1928", "title" : "Sensorimotor semantics on the spot: brain activity dissociates between conceptual categories within 150 ms.", "type" : "article-journal", "volume" : "3" }, "uris" : [ "http://www.mendeley.com/documents/?uuid=06425a5b-0ac3-4a12-9d81-1885c9223ed0" ] }, { "id" : "ITEM-2", "itemData" : { "DOI" : "10.1016/j.neuropsychologia.2013.12.002", "ISBN" : "0028-3932", "ISSN" : "18733514", "PMID" : "24333695", "abstract" : "A new perspective on cognition views cortical cell assemblies linking together knowledge about actions and perceptions not only as the vehicles of integrated action and perception processing but, furthermore, as a brain basis for a wide range of higher cortical functions, including attention, meaning and concepts, sequences, goals and intentions, and even communicative social interaction. This article explains mechanisms relevant to mechanistic action perception theory, points to concrete neuronal circuits in brains along with artificial neuronal network simulations, and summarizes recent brain imaging and other experimental data documenting the role of action perception circuits in cognition, language and communication. ?? 2013.", "author" : [ { "dropping-particle" : "", "family" : "Pulverm\u00fcller", "given" : "Friedemann", "non-dropping-particle" : "", "parse-names" : false, "suffix" : "" }, { "dropping-particle" : "", "family" : "Moseley", "given" : "Rachel L.", "non-dropping-particle" : "", "parse-names" : false, "suffix" : "" }, { "dropping-particle" : "", "family" : "Egorova", "given" : "Natalia", "non-dropping-particle" : "", "parse-names" : false, "suffix" : "" }, { "dropping-particle" : "", "family" : "Shebani", "given" : "Zubaida", "non-dropping-particle" : "", "parse-names" : false, "suffix" : "" }, { "dropping-particle" : "", "family" : "Boulenger", "given" : "V??ronique", "non-dropping-particle" : "", "parse-names" : false, "suffix" : "" } ], "container-title" : "Neuropsychologia", "edition" : "2013/12/18", "id" : "ITEM-2", "issue" : "1", "issued" : { "date-parts" : [ [ "2014" ] ] }, "language" : "eng", "note" : "Pulvermuller, Friedemann\nMoseley, Rachel L\nEgorova, Natalia\nShebani, Zubaida\nBoulenger, Veronique\nMC_U105580445/Medical Research Council/United Kingdom\nMC_US_A060_0034/Medical Research Council/United Kingdom\nU1055.04.003.00001.01/Medical Research Council/United Kingdom\nEngland\nNeuropsychologia. 2014 Mar;55:71-84. doi: 10.1016/j.neuropsychologia.2013.12.002. Epub 2013 Dec 12.", "page" : "71-84", "title" : "Motor cognition-motor semantics: Action perception theory of cognition and communication", "type" : "article-journal", "volume" : "55" }, "uris" : [ "http://www.mendeley.com/documents/?uuid=d39acea0-f353-4d9a-84ec-557c34e05269" ] }, { "id" : "ITEM-3", "itemData" : { "DOI" : "10.1093/cercor/9.5.497", "ISBN" : "1047-3211 (Print)\\r1047-3211 (Linking)", "ISSN" : "10473211", "PMID" : "10450894", "abstract" : "Lesion evidence indicates that words from different lexical categories, such as nouns and verbs, may have different cortical counterparts. In this study, processing of nouns and verbs was investigated in the intact brain using (i) behavioral measures, (ii) stimulus-triggered event-related potentials and (iii) high-frequency electrocortical responses in the gamma band. Nouns and verbs carefully matched for various variables, including word frequency, length, arousal and valence, were presented in a lexical decision task while electrocortical responses were recorded. In addition, information about cognitive processing of these stimuli was obtained using questionnaires and reaction times. As soon as ~200 ms after stimulus onset, event-related potentials disclosed electrocortical differences between nouns and verbs over widespread cortical areas. In a later time window, 500\u2013800 ms after stimulus onset, there was a significant difference between high-frequency responses in the 30 Hz range. Difference maps obtained from both event-related potentials and high-frequency responses revealed strong betweencategory differences of signals recorded above motor and visual cortices. Behavioral data suggest that these different physiological responses are related to semantic associations (motor or visual) elicited by these word groups. Our results are consistent with a neurobiological model of language representation postulating cell assemblies with distinct cortical topographies as biological counterparts of words. Assemblies representing nouns referring to visually perceived objects may include neurons in visual cortices, and assemblies representing action verbs may include additional neurons in motor, premotor and prefrontal cortices. Event-related potentials and high-frequency responses are proposed to indicate two different functional states of cell assemblies: initial full activation (\u2018ignition\u2019) and continuous reverberatory activity.", "author" : [ { "dropping-particle" : "", "family" : "Pulverm\u00fcller", "given" : "Friedemann", "non-dropping-particle" : "", "parse-names" : false, "suffix" : "" }, { "dropping-particle" : "", "family" : "Lutzenberger", "given" : "Werner", "non-dropping-particle" : "", "parse-names" : false, "suffix" : "" }, { "dropping-particle" : "", "family" : "Preissl", "given" : "Hubert", "non-dropping-particle" : "", "parse-names" : false, "suffix" : "" } ], "container-title" : "Cerebral Cortex", "id" : "ITEM-3", "issue" : "5", "issued" : { "date-parts" : [ [ "1999" ] ] }, "page" : "497-506", "title" : "Nouns and verbs in the intact brain: Evidence from event-related potentials and high-frequency cortical responses", "type" : "article-journal", "volume" : "9" }, "uris" : [ "http://www.mendeley.com/documents/?uuid=90aff521-8018-4b61-bcac-ffbd24f303dc" ] }, { "id" : "ITEM-4", "itemData" : { "DOI" : "10.1016/j.cogpsych.2003.09.001", "ISBN" : "00100285", "ISSN" : "00100285", "PMID" : "15099798", "abstract" : "This paper presents the Featural and Unitary Semantic Space (FUSS) hypothesis of the meanings of object and action words. The hypothesis, implemented in a statistical model, is based on the following assumptions: First, it is assumed that the meanings of words are grounded in conceptual featural representations, some of which are organized according to modality. Second, it is assumed that conceptual featural representations are bound into lexico-semantic representations that provide an interface between conceptual knowledge and other linguistic information (syntax and phonology). Finally, the FUSS model employs the same principles and tools for objects and actions, modeling both domains in a single semantic space. We assess the plausibility of the model by showing that it can capture generalizations presented in the literature, in particular those related to category-related deficits, and show that it can predict semantic effects in behavioral experiments for object and action words better than other models such as Latent Semantic Analysis (Lndauer &amp; Dumais, 1997) and similarity metrics derived from Wordnet (Miller &amp; Fellbaum, 1991). ?? 2003 Elsevier Inc. All rights reserved.", "author" : [ { "dropping-particle" : "", "family" : "Vigliocco", "given" : "Gabriella", "non-dropping-particle" : "", "parse-names" : false, "suffix" : "" }, { "dropping-particle" : "", "family" : "Vinson", "given" : "David P.", "non-dropping-particle" : "", "parse-names" : false, "suffix" : "" }, { "dropping-particle" : "", "family" : "Lewis", "given" : "William", "non-dropping-particle" : "", "parse-names" : false, "suffix" : "" }, { "dropping-particle" : "", "family" : "Garrett", "given" : "Merrill F.", "non-dropping-particle" : "", "parse-names" : false, "suffix" : "" } ], "container-title" : "Cognitive Psychology", "id" : "ITEM-4", "issue" : "4", "issued" : { "date-parts" : [ [ "2004", "6" ] ] }, "page" : "422-488", "title" : "Representing the meanings of object and action words: The featural and unitary semantic space hypothesis", "type" : "article-journal", "volume" : "48" }, "uris" : [ "http://www.mendeley.com/documents/?uuid=79ccb78a-0a54-4d33-9f82-6bd7c4e8bc96" ] }, { "id" : "ITEM-5", "itemData" : { "DOI" : "10.1038/379649a0", "ISSN" : "00280836", "abstract" : "An intriguing and puzzling consequence of damage to the human brain is selective loss of knowledge about a specific category of objects. One patient may be unable to identify or name living things, whereas another may have selective difficulty identifying man-made objects. To investigate the neural correlates of this remarkable dissociation, we used positron emission tomography to map regions of the normal brain that are associated with naming animals and tools. We found that naming pictures of animals and tools was associated with bilateral activation of the ventral temporal lobes and Broca's area. In addition, naming animals selectively activated the left medial occipital lobe - a region involved in the earliest stages of visual processing. In contrast, naming tools selectively activated a left premotor area also activated by imagined hand movements, and an area in the left middle temporal gyrus also activated by the generation of action words. Thus the brain regions active during object identification are dependent, in part, on the intrinsic properties of the object presented.", "author" : [ { "dropping-particle" : "", "family" : "Martin", "given" : "A.", "non-dropping-particle" : "", "parse-names" : false, "suffix" : "" }, { "dropping-particle" : "", "family" : "Wiggs", "given" : "C.L.", "non-dropping-particle" : "", "parse-names" : false, "suffix" : "" }, { "dropping-particle" : "", "family" : "Ungerleider", "given" : "L.G.", "non-dropping-particle" : "", "parse-names" : false, "suffix" : "" }, { "dropping-particle" : "", "family" : "Haxby", "given" : "J.V.", "non-dropping-particle" : "", "parse-names" : false, "suffix" : "" } ], "container-title" : "Nature", "id" : "ITEM-5", "issue" : "6566", "issued" : { "date-parts" : [ [ "1996" ] ] }, "note" : "animal vs. tool names - nouns - matched for wrd frequency and &amp;quot;typicallity&amp;quot; - naming task also noise pictures and &amp;quot;non-objects&amp;quot; - differences between tools and animals: tools stronger activity in medial temporal and prefrontal (hand area) cortices; animals stronger activity in occipital (primary and higher) cortices - conclusions on object identification\nReprint Status: In File", "page" : "649-652", "title" : "Neural correlates of category-specific knowledge", "type" : "article-journal", "volume" : "379" }, "uris" : [ "http://www.mendeley.com/documents/?uuid=712f96a2-dc25-4570-bb31-c4902d602cee" ] }, { "id" : "ITEM-6", "itemData" : { "DOI" : "10.1146/annurev.psych.57.102904.190143", "ISBN" : "0066-4308 (Print)", "ISSN" : "0066-4308", "PMID" : "16968210", "abstract" : "Abstract Evidence from functional neuroimaging of the human brain indicates that information about salient properties of an object\u9225\u6515uch as what it looks like, how it moves, and how it is used\u9225\u650as stored in sensory and motor systems active when that information was acquired. As a result, object concepts belonging to different categories like animals and tools are represented in partially distinct, sensory- and motor property\u9225\u63f5ased neural networks. This suggests that object concepts are not explicitly represented, but rather emerge from weighted activity within property-based brain regions. However, some property-based regions seem to show a categorical organization, thus providing evidence consistent with category-based, domain-specific formulations as well.", "author" : [ { "dropping-particle" : "", "family" : "Martin", "given" : "Alex", "non-dropping-particle" : "", "parse-names" : false, "suffix" : "" } ], "container-title" : "Annual Review of Psychology", "id" : "ITEM-6", "issue" : "1", "issued" : { "date-parts" : [ [ "2007", "1" ] ] }, "page" : "25-45", "title" : "The Representation of Object Concepts in the Brain", "type" : "article-journal", "volume" : "58" }, "uris" : [ "http://www.mendeley.com/documents/?uuid=db08a7fb-2cdb-4124-aaa2-b396e87dc763" ] }, { "id" : "ITEM-7", "itemData" : { "DOI" : "10.1038/380499a0", "ISBN" : "0028-0836", "ISSN" : "0028-0836", "PMID" : "8606767", "abstract" : "Two parallel studies using positron emission tomography, one conducted in neurological patients with brain lesions, the other in normal individuals, indicate that the normal process of retrieving words that denote concrete entities depends in part on multiple regions of the left cerebral hemisphere, located outside the classic language areas. Moreover, anatomically separable regions tends to process words for distinct kinds of items.", "author" : [ { "dropping-particle" : "", "family" : "Damasio", "given" : "Hanna", "non-dropping-particle" : "", "parse-names" : false, "suffix" : "" }, { "dropping-particle" : "", "family" : "Grabowsk</w:instrText>
      </w:r>
      <w:r w:rsidR="007F4106" w:rsidRPr="007C17A6">
        <w:rPr>
          <w:rFonts w:ascii="Times New Roman" w:hAnsi="Times New Roman" w:cs="Times New Roman"/>
          <w:color w:val="000000" w:themeColor="text1"/>
          <w:sz w:val="24"/>
          <w:szCs w:val="24"/>
          <w:lang w:val="it-IT"/>
        </w:rPr>
        <w:instrText>i", "given" : "Thomas J", "non-dropping-particle" : "", "parse-names" : false, "suffix" : "" }, { "dropping-particle" : "", "family" : "Tranel", "given" : "Daniel", "non-dropping-particle" : "", "parse-names" : false, "suffix" : "" }, { "dropping-particle" : "", "family" : "Hichwa", "given" : "Richard D", "non-dropping-particle" : "", "parse-names" : false, "suffix" : "" }, { "dropping-particle" : "", "family" : "Damasio", "given" : "Antonio R", "non-dropping-particle" : "", "parse-names" : false, "suffix" : "" } ], "container-title" : "Nature", "id" : "ITEM-7", "issue" : "6574", "issued" : { "date-parts" : [ [ "1996" ] ] }, "page" : "499-505", "title" : "A neural basis for lexical retrieval", "type" : "article-journal", "volume" : "380" }, "uris" : [ "http://www.mendeley.com/documents/?uuid=c36ff67e-192f-4566-b492-8842b90d946e" ] } ], "mendeley" : { "formattedCitation" : "(Damasio et al., 1996; Martin, 2007; Martin et al., 1996; Moseley et al., 2013; Pulverm\u00fcller et al., 2014, 1999; Vigliocco et al., 2004)", "plainTextFormattedCitation" : "(Damasio et al., 1996; Martin, 2007; Martin et al., 1996; Moseley et al., 2013; Pulverm\u00fcller et al., 2014, 1999; Vigliocco et al., 2004)", "previouslyFormattedCitation" : "(Damasio et al., 1996; Martin, 2007; Martin et al., 1996; Moseley et al., 2013; Pulverm\u00fcller et al., 2014, 1999; Vigliocco et al., 2004)" }, "properties" : {  }, "schema" : "https://github.com/citation-style-language/schema/raw/master/csl-citation.json" }</w:instrText>
      </w:r>
      <w:r w:rsidR="00A81FE9" w:rsidRPr="007C17A6">
        <w:rPr>
          <w:rFonts w:ascii="Times New Roman" w:hAnsi="Times New Roman" w:cs="Times New Roman"/>
          <w:color w:val="000000" w:themeColor="text1"/>
          <w:sz w:val="24"/>
          <w:szCs w:val="24"/>
        </w:rPr>
        <w:fldChar w:fldCharType="separate"/>
      </w:r>
      <w:r w:rsidR="00A81FE9" w:rsidRPr="007C17A6">
        <w:rPr>
          <w:rFonts w:ascii="Times New Roman" w:hAnsi="Times New Roman" w:cs="Times New Roman"/>
          <w:noProof/>
          <w:color w:val="000000" w:themeColor="text1"/>
          <w:sz w:val="24"/>
          <w:szCs w:val="24"/>
          <w:lang w:val="it-IT"/>
        </w:rPr>
        <w:t>(Damasio et al., 1996; Martin, 2007; Martin et al., 1996; Moseley et al., 2013; Pulvermüller et al., 2014, 1999; Vigliocco et al., 2004)</w:t>
      </w:r>
      <w:r w:rsidR="00A81FE9" w:rsidRPr="007C17A6">
        <w:rPr>
          <w:rFonts w:ascii="Times New Roman" w:hAnsi="Times New Roman" w:cs="Times New Roman"/>
          <w:color w:val="000000" w:themeColor="text1"/>
          <w:sz w:val="24"/>
          <w:szCs w:val="24"/>
        </w:rPr>
        <w:fldChar w:fldCharType="end"/>
      </w:r>
      <w:r w:rsidR="00A54311" w:rsidRPr="007C17A6">
        <w:rPr>
          <w:rFonts w:ascii="Times New Roman" w:hAnsi="Times New Roman" w:cs="Times New Roman"/>
          <w:color w:val="000000" w:themeColor="text1"/>
          <w:sz w:val="24"/>
          <w:szCs w:val="24"/>
          <w:lang w:val="it-IT"/>
        </w:rPr>
        <w:t xml:space="preserve">. </w:t>
      </w:r>
      <w:r w:rsidR="00A54311" w:rsidRPr="007C17A6">
        <w:rPr>
          <w:rFonts w:ascii="Times New Roman" w:hAnsi="Times New Roman" w:cs="Times New Roman"/>
          <w:color w:val="000000" w:themeColor="text1"/>
          <w:sz w:val="24"/>
          <w:szCs w:val="24"/>
        </w:rPr>
        <w:t>However, n</w:t>
      </w:r>
      <w:r w:rsidR="00AF0844" w:rsidRPr="007C17A6">
        <w:rPr>
          <w:rFonts w:ascii="Times New Roman" w:hAnsi="Times New Roman" w:cs="Times New Roman"/>
          <w:color w:val="000000" w:themeColor="text1"/>
          <w:sz w:val="24"/>
          <w:szCs w:val="24"/>
        </w:rPr>
        <w:t xml:space="preserve">ote </w:t>
      </w:r>
      <w:r w:rsidR="00626627" w:rsidRPr="007C17A6">
        <w:rPr>
          <w:rFonts w:ascii="Times New Roman" w:hAnsi="Times New Roman" w:cs="Times New Roman"/>
          <w:color w:val="000000" w:themeColor="text1"/>
          <w:sz w:val="24"/>
          <w:szCs w:val="24"/>
        </w:rPr>
        <w:t>that the “action” and “object words” simulated here capture the differential action- and object-relatedness of many verbs and nouns, but not the lack of such semantic differences seen between abstract verbs/nouns and certainly not the combinatorial, or distrib</w:t>
      </w:r>
      <w:r w:rsidR="00A54311" w:rsidRPr="007C17A6">
        <w:rPr>
          <w:rFonts w:ascii="Times New Roman" w:hAnsi="Times New Roman" w:cs="Times New Roman"/>
          <w:color w:val="000000" w:themeColor="text1"/>
          <w:sz w:val="24"/>
          <w:szCs w:val="24"/>
        </w:rPr>
        <w:t>utional differences between word</w:t>
      </w:r>
      <w:r w:rsidR="00626627" w:rsidRPr="007C17A6">
        <w:rPr>
          <w:rFonts w:ascii="Times New Roman" w:hAnsi="Times New Roman" w:cs="Times New Roman"/>
          <w:color w:val="000000" w:themeColor="text1"/>
          <w:sz w:val="24"/>
          <w:szCs w:val="24"/>
        </w:rPr>
        <w:t xml:space="preserve"> categories, which result from their differential placements in specific grammatical contexts. </w:t>
      </w:r>
      <w:r w:rsidR="00C722FB" w:rsidRPr="007C17A6">
        <w:rPr>
          <w:rFonts w:ascii="Times New Roman" w:hAnsi="Times New Roman" w:cs="Times New Roman"/>
          <w:color w:val="000000" w:themeColor="text1"/>
          <w:sz w:val="24"/>
          <w:szCs w:val="24"/>
        </w:rPr>
        <w:t xml:space="preserve">Hence, for </w:t>
      </w:r>
      <w:r w:rsidR="00626627" w:rsidRPr="007C17A6">
        <w:rPr>
          <w:rFonts w:ascii="Times New Roman" w:hAnsi="Times New Roman" w:cs="Times New Roman"/>
          <w:color w:val="000000" w:themeColor="text1"/>
          <w:sz w:val="24"/>
          <w:szCs w:val="24"/>
        </w:rPr>
        <w:t xml:space="preserve">directly </w:t>
      </w:r>
      <w:r w:rsidR="00C722FB" w:rsidRPr="007C17A6">
        <w:rPr>
          <w:rFonts w:ascii="Times New Roman" w:hAnsi="Times New Roman" w:cs="Times New Roman"/>
          <w:color w:val="000000" w:themeColor="text1"/>
          <w:sz w:val="24"/>
          <w:szCs w:val="24"/>
        </w:rPr>
        <w:t xml:space="preserve">comparing the predictions of the present simulations to empirical data, it </w:t>
      </w:r>
      <w:r w:rsidR="00626627" w:rsidRPr="007C17A6">
        <w:rPr>
          <w:rFonts w:ascii="Times New Roman" w:hAnsi="Times New Roman" w:cs="Times New Roman"/>
          <w:color w:val="000000" w:themeColor="text1"/>
          <w:sz w:val="24"/>
          <w:szCs w:val="24"/>
        </w:rPr>
        <w:t>will</w:t>
      </w:r>
      <w:r w:rsidR="00C722FB" w:rsidRPr="007C17A6">
        <w:rPr>
          <w:rFonts w:ascii="Times New Roman" w:hAnsi="Times New Roman" w:cs="Times New Roman"/>
          <w:color w:val="000000" w:themeColor="text1"/>
          <w:sz w:val="24"/>
          <w:szCs w:val="24"/>
        </w:rPr>
        <w:t xml:space="preserve"> be advantageous to perform </w:t>
      </w:r>
      <w:r w:rsidR="00C722FB" w:rsidRPr="007C17A6">
        <w:rPr>
          <w:rFonts w:ascii="Times New Roman" w:hAnsi="Times New Roman" w:cs="Times New Roman"/>
          <w:noProof/>
          <w:color w:val="000000" w:themeColor="text1"/>
          <w:sz w:val="24"/>
          <w:szCs w:val="24"/>
        </w:rPr>
        <w:t>analogous</w:t>
      </w:r>
      <w:r w:rsidR="00C722FB" w:rsidRPr="007C17A6">
        <w:rPr>
          <w:rFonts w:ascii="Times New Roman" w:hAnsi="Times New Roman" w:cs="Times New Roman"/>
          <w:color w:val="000000" w:themeColor="text1"/>
          <w:sz w:val="24"/>
          <w:szCs w:val="24"/>
        </w:rPr>
        <w:t xml:space="preserve"> learning experiments </w:t>
      </w:r>
      <w:r w:rsidR="00D10E72" w:rsidRPr="007C17A6">
        <w:rPr>
          <w:rFonts w:ascii="Times New Roman" w:hAnsi="Times New Roman" w:cs="Times New Roman"/>
          <w:color w:val="000000" w:themeColor="text1"/>
          <w:sz w:val="24"/>
          <w:szCs w:val="24"/>
        </w:rPr>
        <w:t xml:space="preserve">and </w:t>
      </w:r>
      <w:r w:rsidR="00C722FB" w:rsidRPr="007C17A6">
        <w:rPr>
          <w:rFonts w:ascii="Times New Roman" w:hAnsi="Times New Roman" w:cs="Times New Roman"/>
          <w:color w:val="000000" w:themeColor="text1"/>
          <w:sz w:val="24"/>
          <w:szCs w:val="24"/>
        </w:rPr>
        <w:t xml:space="preserve">brain imaging </w:t>
      </w:r>
      <w:r w:rsidR="00D10E72" w:rsidRPr="007C17A6">
        <w:rPr>
          <w:rFonts w:ascii="Times New Roman" w:hAnsi="Times New Roman" w:cs="Times New Roman"/>
          <w:color w:val="000000" w:themeColor="text1"/>
          <w:sz w:val="24"/>
          <w:szCs w:val="24"/>
        </w:rPr>
        <w:t>studies</w:t>
      </w:r>
      <w:r w:rsidR="00C722FB" w:rsidRPr="007C17A6">
        <w:rPr>
          <w:rFonts w:ascii="Times New Roman" w:hAnsi="Times New Roman" w:cs="Times New Roman"/>
          <w:color w:val="000000" w:themeColor="text1"/>
          <w:sz w:val="24"/>
          <w:szCs w:val="24"/>
        </w:rPr>
        <w:t xml:space="preserve"> to investigate </w:t>
      </w:r>
      <w:r w:rsidR="00C722FB" w:rsidRPr="007C17A6">
        <w:rPr>
          <w:rFonts w:ascii="Times New Roman" w:hAnsi="Times New Roman" w:cs="Times New Roman"/>
          <w:i/>
          <w:color w:val="000000" w:themeColor="text1"/>
          <w:sz w:val="24"/>
          <w:szCs w:val="24"/>
        </w:rPr>
        <w:t>where</w:t>
      </w:r>
      <w:r w:rsidR="00C722FB" w:rsidRPr="007C17A6">
        <w:rPr>
          <w:rFonts w:ascii="Times New Roman" w:hAnsi="Times New Roman" w:cs="Times New Roman"/>
          <w:color w:val="000000" w:themeColor="text1"/>
          <w:sz w:val="24"/>
          <w:szCs w:val="24"/>
        </w:rPr>
        <w:t xml:space="preserve"> in the brain the neural signatures of </w:t>
      </w:r>
      <w:r w:rsidR="008919F1" w:rsidRPr="007C17A6">
        <w:rPr>
          <w:rFonts w:ascii="Times New Roman" w:hAnsi="Times New Roman" w:cs="Times New Roman"/>
          <w:color w:val="000000" w:themeColor="text1"/>
          <w:sz w:val="24"/>
          <w:szCs w:val="24"/>
        </w:rPr>
        <w:t>novel object</w:t>
      </w:r>
      <w:r w:rsidR="004876EF" w:rsidRPr="007C17A6">
        <w:rPr>
          <w:rFonts w:ascii="Times New Roman" w:hAnsi="Times New Roman" w:cs="Times New Roman"/>
          <w:color w:val="000000" w:themeColor="text1"/>
          <w:sz w:val="24"/>
          <w:szCs w:val="24"/>
        </w:rPr>
        <w:t xml:space="preserve"> and action words first emerge. </w:t>
      </w:r>
      <w:r w:rsidR="004876EF" w:rsidRPr="007C17A6">
        <w:rPr>
          <w:rFonts w:ascii="Times New Roman" w:hAnsi="Times New Roman" w:cs="Times New Roman"/>
          <w:color w:val="auto"/>
          <w:sz w:val="24"/>
          <w:szCs w:val="24"/>
        </w:rPr>
        <w:t xml:space="preserve">Nevertheless, </w:t>
      </w:r>
      <w:r w:rsidR="004876EF" w:rsidRPr="007C17A6">
        <w:rPr>
          <w:rFonts w:ascii="Times New Roman" w:eastAsia="Times New Roman" w:hAnsi="Times New Roman" w:cs="Times New Roman"/>
          <w:color w:val="auto"/>
          <w:sz w:val="24"/>
          <w:szCs w:val="24"/>
          <w:shd w:val="clear" w:color="auto" w:fill="FFFFFF"/>
        </w:rPr>
        <w:t xml:space="preserve">the present </w:t>
      </w:r>
      <w:r w:rsidR="004876EF" w:rsidRPr="007C17A6">
        <w:rPr>
          <w:rFonts w:ascii="Times New Roman" w:hAnsi="Times New Roman" w:cs="Times New Roman"/>
          <w:color w:val="auto"/>
          <w:sz w:val="24"/>
          <w:szCs w:val="24"/>
          <w:lang w:val="en-GB"/>
        </w:rPr>
        <w:t xml:space="preserve">simulation </w:t>
      </w:r>
      <w:r w:rsidR="004876EF" w:rsidRPr="007C17A6">
        <w:rPr>
          <w:rFonts w:ascii="Times New Roman" w:hAnsi="Times New Roman" w:cs="Times New Roman"/>
          <w:bCs/>
          <w:color w:val="auto"/>
          <w:sz w:val="24"/>
          <w:szCs w:val="24"/>
          <w:lang w:val="en-GB"/>
        </w:rPr>
        <w:t>demonstrate</w:t>
      </w:r>
      <w:r w:rsidR="004876EF" w:rsidRPr="007C17A6">
        <w:rPr>
          <w:rFonts w:ascii="Times New Roman" w:hAnsi="Times New Roman" w:cs="Times New Roman"/>
          <w:color w:val="auto"/>
          <w:sz w:val="24"/>
          <w:szCs w:val="24"/>
          <w:lang w:val="en-GB"/>
        </w:rPr>
        <w:t xml:space="preserve"> the validity of </w:t>
      </w:r>
      <w:r w:rsidR="004876EF" w:rsidRPr="007C17A6">
        <w:rPr>
          <w:rFonts w:ascii="Times New Roman" w:eastAsia="Times New Roman" w:hAnsi="Times New Roman" w:cs="Times New Roman"/>
          <w:color w:val="auto"/>
          <w:sz w:val="24"/>
          <w:szCs w:val="24"/>
          <w:shd w:val="clear" w:color="auto" w:fill="FFFFFF"/>
        </w:rPr>
        <w:t xml:space="preserve">a neurobiological theory of language processing (see Introduction, and </w:t>
      </w:r>
      <w:r w:rsidR="004876EF" w:rsidRPr="007C17A6">
        <w:rPr>
          <w:rFonts w:ascii="Times New Roman" w:hAnsi="Times New Roman" w:cs="Times New Roman"/>
          <w:color w:val="auto"/>
          <w:sz w:val="24"/>
          <w:szCs w:val="24"/>
        </w:rPr>
        <w:t xml:space="preserve"> </w:t>
      </w:r>
      <w:r w:rsidR="004876EF" w:rsidRPr="007C17A6">
        <w:rPr>
          <w:rFonts w:ascii="Times New Roman" w:hAnsi="Times New Roman" w:cs="Times New Roman"/>
          <w:color w:val="auto"/>
          <w:sz w:val="24"/>
          <w:szCs w:val="24"/>
        </w:rPr>
        <w:fldChar w:fldCharType="begin" w:fldLock="1"/>
      </w:r>
      <w:r w:rsidR="007F4106" w:rsidRPr="007C17A6">
        <w:rPr>
          <w:rFonts w:ascii="Times New Roman" w:hAnsi="Times New Roman" w:cs="Times New Roman"/>
          <w:color w:val="auto"/>
          <w:sz w:val="24"/>
          <w:szCs w:val="24"/>
        </w:rPr>
        <w:instrText>ADDIN CSL_CITATION { "citationItems" : [ { "id" : "ITEM-1", "itemData" : { "DOI" : "10.1016/0010-0277(89)90005-X", "ISBN" : "0010-0277 (Print)\\r0010-0277 (Linking)", "ISSN" : "00100277", "PMID" : "2691184", "abstract" : "This article outlines a theoretical framework for the understanding of the neural basis of memory and consciousness, at systems level. It proposes an architecture constituted by: (1) neuron ensembles located in multiple and separate regions of primary and first-order sensory association cortices (\"early cortices\") and motor cortices; they contain representations of feature fragments inscribed as patterns of activity originally engaged by perceptuomotor interactions; (2) neuron ensembles located downstream from the former throughout single modality cortices (local convergence zones); they inscribe amodal records of the combinatorial arrangement of feature fragments that occurred synchronously during the experience of entities or events in sector (1); (3) neuron ensembles located downstream from the former throughout higher-order association cortices (non-local convergence zones), which inscribe amodal records of the synchronous combinatorial arrangements of local convergence zones during the experience of entities and events in sector (1); (4) feed-forward and feedback projections interlocking reciprocally the neuron ensembles in (1) with those in (2) according to a many-to-one (feed-forward) and one-to-many (feedback) principle. I propose that (a) recall of entities and events occurs when the neuron ensembles in (1) are activated in time-locked fashion; (b) the synchronous activations are directed from convergence zones in (2) and (3); and (c) the process of reactivation is triggered from firing in convergence zones and mediated by feedback projections. This proposal rejects a single anatomical site for the integration of memory and motor processes and a single store for the meaning of entities of events. Meaning is reached by time-locked multiregional retroactivation of widespread fragment records. Only the latter records can become contents of consciousness. ?? 1989.", "author" : [ { "dropping-particle" : "", "family" : "Damasio", "given" : "Antonio R.", "non-dropping-particle" : "", "parse-names" : false, "suffix" : "" } ], "container-title" : "Cognition", "edition" : "1989/11/01", "id" : "ITEM-1", "issue" : "1-2", "issued" : { "date-parts" : [ [ "1989" ] ] }, "language" : "eng", "note" : "Damasio, A R\nP01 NS19632/NS/NINDS NIH HHS/\nSWITZERLAND\nCognition. 1989 Nov;33(1-2):25-62.", "page" : "25-62", "title" : "Time-locked multiregional retroactivation: A systems-level proposal for the neural substrates of recall and recognition", "type" : "article-journal", "volume" : "33" }, "uris" : [ "http://www.mendeley.com/documents/?uuid=85485bc8-b9c6-4300-bd13-176327ee2f66" ] }, { "id" : "ITEM-2", "itemData" : { "DOI" : "10.1016/j.tics.2013.06.004", "ISBN" : "1364-6613", "ISSN" : "13646613", "PMID" : "23932069", "abstract" : "How brain structures and neuronal circuits mechanistically underpin symbolic meaning has recently been elucidated by neuroimaging, neuropsychological, and neurocomputational research. Modality-specific 'embodied' mechanisms anchored in sensorimotor systems appear to be relevant, as are 'disembodied' mechanisms in multimodal areas. In this paper, four semantic mechanisms are proposed and spelt out at the level of neuronal circuits: referential semantics, which establishes links between symbols and the objects and actions they are used to speak about; combinatorial semantics, which enables the learning of symbolic meaning from context; emotional-affective semantics, which establishes links between signs and internal states of the body; and abstraction mechanisms for generalizing over a range of instances of semantic meaning. Referential, combinatorial, emotional-affective, and abstract semantics are complementary mechanisms, each necessary for processing meaning in mind and brain. \u00a9 2013 Elsevier Ltd.", "author" : [ { "dropping-particle" : "", "family" : "Pulverm\u00fcller", "given" : "Friedemann", "non-dropping-particle" : "", "parse-names" : false, "suffix" : "" } ], "container-title" : "Trends in Cognitive Sciences", "id" : "ITEM-2", "issue" : "9", "issued" : { "date-parts" : [ [ "2013", "9" ] ] }, "page" : "458-470", "title" : "How neurons make meaning: Brain mechanisms for embodied and abstract-symbolic semantics", "type" : "article-journal", "volume" : "17" }, "uris" : [ "http://www.mendeley.com/documents/?uuid=8877ae30-8f96-4672-817d-cb94622f89cb" ] } ], "mendeley" : { "formattedCitation" : "(Damasio, 1989; Pulverm\u00fcller, 2013)", "manualFormatting" : "Damasio, 1989; Pulverm\u00fcller, 2013)", "plainTextFormattedCitation" : "(Damasio, 1989; Pulverm\u00fcller, 2013)", "previouslyFormattedCitation" : "(Damasio, 1989; Pulverm\u00fcller, 2013)" }, "properties" : {  }, "schema" : "https://github.com/citation-style-language/schema/raw/master/csl-citation.json" }</w:instrText>
      </w:r>
      <w:r w:rsidR="004876EF" w:rsidRPr="007C17A6">
        <w:rPr>
          <w:rFonts w:ascii="Times New Roman" w:hAnsi="Times New Roman" w:cs="Times New Roman"/>
          <w:color w:val="auto"/>
          <w:sz w:val="24"/>
          <w:szCs w:val="24"/>
        </w:rPr>
        <w:fldChar w:fldCharType="separate"/>
      </w:r>
      <w:r w:rsidR="004876EF" w:rsidRPr="007C17A6">
        <w:rPr>
          <w:rFonts w:ascii="Times New Roman" w:hAnsi="Times New Roman" w:cs="Times New Roman"/>
          <w:noProof/>
          <w:color w:val="auto"/>
          <w:sz w:val="24"/>
          <w:szCs w:val="24"/>
          <w:lang w:val="en-GB"/>
        </w:rPr>
        <w:t>Damasio, 1989; Pulvermüller, 2013)</w:t>
      </w:r>
      <w:r w:rsidR="004876EF" w:rsidRPr="007C17A6">
        <w:rPr>
          <w:rFonts w:ascii="Times New Roman" w:hAnsi="Times New Roman" w:cs="Times New Roman"/>
          <w:color w:val="auto"/>
          <w:sz w:val="24"/>
          <w:szCs w:val="24"/>
        </w:rPr>
        <w:fldChar w:fldCharType="end"/>
      </w:r>
      <w:r w:rsidR="004876EF" w:rsidRPr="007C17A6">
        <w:rPr>
          <w:rFonts w:ascii="Times New Roman" w:eastAsia="Times New Roman" w:hAnsi="Times New Roman" w:cs="Times New Roman"/>
          <w:color w:val="auto"/>
          <w:sz w:val="24"/>
          <w:szCs w:val="24"/>
          <w:shd w:val="clear" w:color="auto" w:fill="FFFFFF"/>
        </w:rPr>
        <w:t>,</w:t>
      </w:r>
      <w:r w:rsidR="004876EF" w:rsidRPr="007C17A6">
        <w:rPr>
          <w:rFonts w:ascii="Times New Roman" w:hAnsi="Times New Roman" w:cs="Times New Roman"/>
          <w:color w:val="auto"/>
          <w:sz w:val="24"/>
          <w:szCs w:val="24"/>
          <w:lang w:val="en-GB"/>
        </w:rPr>
        <w:t xml:space="preserve"> in which the mutual interaction of a set of neurobiological principles at work within anatomically-realistic structures and Hebbian learning are sufficient </w:t>
      </w:r>
      <w:r w:rsidR="00D10E72" w:rsidRPr="007C17A6">
        <w:rPr>
          <w:rFonts w:ascii="Times New Roman" w:hAnsi="Times New Roman" w:cs="Times New Roman"/>
          <w:color w:val="auto"/>
          <w:sz w:val="24"/>
          <w:szCs w:val="24"/>
          <w:lang w:val="en-GB"/>
        </w:rPr>
        <w:t>for</w:t>
      </w:r>
      <w:r w:rsidR="004876EF" w:rsidRPr="007C17A6">
        <w:rPr>
          <w:rFonts w:ascii="Times New Roman" w:hAnsi="Times New Roman" w:cs="Times New Roman"/>
          <w:color w:val="auto"/>
          <w:sz w:val="24"/>
          <w:szCs w:val="24"/>
          <w:lang w:val="en-GB"/>
        </w:rPr>
        <w:t xml:space="preserve"> expla</w:t>
      </w:r>
      <w:r w:rsidR="00D10E72" w:rsidRPr="007C17A6">
        <w:rPr>
          <w:rFonts w:ascii="Times New Roman" w:hAnsi="Times New Roman" w:cs="Times New Roman"/>
          <w:color w:val="auto"/>
          <w:sz w:val="24"/>
          <w:szCs w:val="24"/>
          <w:lang w:val="en-GB"/>
        </w:rPr>
        <w:t>i</w:t>
      </w:r>
      <w:r w:rsidR="004876EF" w:rsidRPr="007C17A6">
        <w:rPr>
          <w:rFonts w:ascii="Times New Roman" w:hAnsi="Times New Roman" w:cs="Times New Roman"/>
          <w:color w:val="auto"/>
          <w:sz w:val="24"/>
          <w:szCs w:val="24"/>
          <w:lang w:val="en-GB"/>
        </w:rPr>
        <w:t>n</w:t>
      </w:r>
      <w:r w:rsidR="00D10E72" w:rsidRPr="007C17A6">
        <w:rPr>
          <w:rFonts w:ascii="Times New Roman" w:hAnsi="Times New Roman" w:cs="Times New Roman"/>
          <w:color w:val="auto"/>
          <w:sz w:val="24"/>
          <w:szCs w:val="24"/>
          <w:lang w:val="en-GB"/>
        </w:rPr>
        <w:t>ing</w:t>
      </w:r>
      <w:r w:rsidR="004876EF" w:rsidRPr="007C17A6">
        <w:rPr>
          <w:rFonts w:ascii="Times New Roman" w:hAnsi="Times New Roman" w:cs="Times New Roman"/>
          <w:color w:val="auto"/>
          <w:sz w:val="24"/>
          <w:szCs w:val="24"/>
          <w:lang w:val="en-GB"/>
        </w:rPr>
        <w:t xml:space="preserve"> the emergence of semantic hubs and category specificity in the human brain. </w:t>
      </w:r>
    </w:p>
    <w:p w14:paraId="6D22EEF6" w14:textId="77777777" w:rsidR="00A54311" w:rsidRPr="007C17A6" w:rsidRDefault="00A54311" w:rsidP="004876EF">
      <w:pPr>
        <w:spacing w:before="120" w:after="120" w:line="240" w:lineRule="auto"/>
        <w:contextualSpacing/>
        <w:jc w:val="both"/>
        <w:rPr>
          <w:rFonts w:ascii="Times New Roman" w:hAnsi="Times New Roman" w:cs="Times New Roman"/>
          <w:color w:val="auto"/>
          <w:sz w:val="24"/>
          <w:szCs w:val="24"/>
          <w:lang w:val="en-GB"/>
        </w:rPr>
      </w:pPr>
    </w:p>
    <w:p w14:paraId="65085143" w14:textId="44B085C9" w:rsidR="00BC4956" w:rsidRPr="007C17A6" w:rsidRDefault="00A54311" w:rsidP="00BC4956">
      <w:pPr>
        <w:spacing w:before="120" w:after="120" w:line="240" w:lineRule="auto"/>
        <w:contextualSpacing/>
        <w:jc w:val="both"/>
        <w:rPr>
          <w:rFonts w:ascii="Times New Roman" w:hAnsi="Times New Roman" w:cs="Times New Roman"/>
          <w:color w:val="000000" w:themeColor="text1"/>
          <w:sz w:val="24"/>
          <w:szCs w:val="24"/>
          <w:lang w:val="en-GB"/>
        </w:rPr>
      </w:pPr>
      <w:r w:rsidRPr="007C17A6">
        <w:rPr>
          <w:rFonts w:ascii="Times New Roman" w:hAnsi="Times New Roman" w:cs="Times New Roman"/>
          <w:noProof/>
          <w:color w:val="000000" w:themeColor="text1"/>
          <w:sz w:val="24"/>
          <w:szCs w:val="24"/>
          <w:lang w:val="en-GB"/>
        </w:rPr>
        <w:t>It may be worthwhile to point to additional limitations of the present work along with possible extensons in the future. W</w:t>
      </w:r>
      <w:r w:rsidR="00FF35AF" w:rsidRPr="007C17A6">
        <w:rPr>
          <w:rFonts w:ascii="Times New Roman" w:hAnsi="Times New Roman" w:cs="Times New Roman"/>
          <w:noProof/>
          <w:color w:val="000000" w:themeColor="text1"/>
          <w:sz w:val="24"/>
          <w:szCs w:val="24"/>
          <w:lang w:val="en-GB"/>
        </w:rPr>
        <w:t xml:space="preserve">hen an infant learns a new </w:t>
      </w:r>
      <w:r w:rsidR="00310EC5" w:rsidRPr="007C17A6">
        <w:rPr>
          <w:rFonts w:ascii="Times New Roman" w:hAnsi="Times New Roman" w:cs="Times New Roman"/>
          <w:noProof/>
          <w:color w:val="000000" w:themeColor="text1"/>
          <w:sz w:val="24"/>
          <w:szCs w:val="24"/>
          <w:lang w:val="en-GB"/>
        </w:rPr>
        <w:t xml:space="preserve">action </w:t>
      </w:r>
      <w:r w:rsidR="00FF35AF" w:rsidRPr="007C17A6">
        <w:rPr>
          <w:rFonts w:ascii="Times New Roman" w:hAnsi="Times New Roman" w:cs="Times New Roman"/>
          <w:noProof/>
          <w:color w:val="000000" w:themeColor="text1"/>
          <w:sz w:val="24"/>
          <w:szCs w:val="24"/>
          <w:lang w:val="en-GB"/>
        </w:rPr>
        <w:t xml:space="preserve">word </w:t>
      </w:r>
      <w:r w:rsidR="00310EC5" w:rsidRPr="007C17A6">
        <w:rPr>
          <w:rFonts w:ascii="Times New Roman" w:hAnsi="Times New Roman" w:cs="Times New Roman"/>
          <w:noProof/>
          <w:color w:val="000000" w:themeColor="text1"/>
          <w:sz w:val="24"/>
          <w:szCs w:val="24"/>
          <w:lang w:val="en-GB"/>
        </w:rPr>
        <w:t xml:space="preserve">(e.g., </w:t>
      </w:r>
      <w:r w:rsidR="00FF35AF" w:rsidRPr="007C17A6">
        <w:rPr>
          <w:rFonts w:ascii="Times New Roman" w:hAnsi="Times New Roman" w:cs="Times New Roman"/>
          <w:noProof/>
          <w:color w:val="000000" w:themeColor="text1"/>
          <w:sz w:val="24"/>
          <w:szCs w:val="24"/>
          <w:lang w:val="en-GB"/>
        </w:rPr>
        <w:t>“grasp”</w:t>
      </w:r>
      <w:r w:rsidR="00310EC5" w:rsidRPr="007C17A6">
        <w:rPr>
          <w:rFonts w:ascii="Times New Roman" w:hAnsi="Times New Roman" w:cs="Times New Roman"/>
          <w:noProof/>
          <w:color w:val="000000" w:themeColor="text1"/>
          <w:sz w:val="24"/>
          <w:szCs w:val="24"/>
          <w:lang w:val="en-GB"/>
        </w:rPr>
        <w:t>)</w:t>
      </w:r>
      <w:r w:rsidR="00FF35AF" w:rsidRPr="007C17A6">
        <w:rPr>
          <w:rFonts w:ascii="Times New Roman" w:hAnsi="Times New Roman" w:cs="Times New Roman"/>
          <w:noProof/>
          <w:color w:val="000000" w:themeColor="text1"/>
          <w:sz w:val="24"/>
          <w:szCs w:val="24"/>
          <w:lang w:val="en-GB"/>
        </w:rPr>
        <w:t xml:space="preserve">, </w:t>
      </w:r>
      <w:r w:rsidR="00BC4956" w:rsidRPr="007C17A6">
        <w:rPr>
          <w:rFonts w:ascii="Times New Roman" w:hAnsi="Times New Roman" w:cs="Times New Roman"/>
          <w:noProof/>
          <w:color w:val="000000" w:themeColor="text1"/>
          <w:sz w:val="24"/>
          <w:szCs w:val="24"/>
          <w:lang w:val="en-GB"/>
        </w:rPr>
        <w:t xml:space="preserve">by hearing a novel </w:t>
      </w:r>
      <w:r w:rsidR="00FF35AF" w:rsidRPr="007C17A6">
        <w:rPr>
          <w:rFonts w:ascii="Times New Roman" w:hAnsi="Times New Roman" w:cs="Times New Roman"/>
          <w:noProof/>
          <w:color w:val="000000" w:themeColor="text1"/>
          <w:sz w:val="24"/>
          <w:szCs w:val="24"/>
          <w:lang w:val="en-GB"/>
        </w:rPr>
        <w:t xml:space="preserve">word </w:t>
      </w:r>
      <w:r w:rsidR="00BC4956" w:rsidRPr="007C17A6">
        <w:rPr>
          <w:rFonts w:ascii="Times New Roman" w:hAnsi="Times New Roman" w:cs="Times New Roman"/>
          <w:noProof/>
          <w:color w:val="000000" w:themeColor="text1"/>
          <w:sz w:val="24"/>
          <w:szCs w:val="24"/>
          <w:lang w:val="en-GB"/>
        </w:rPr>
        <w:t xml:space="preserve">form while </w:t>
      </w:r>
      <w:r w:rsidR="00FF35AF" w:rsidRPr="007C17A6">
        <w:rPr>
          <w:rFonts w:ascii="Times New Roman" w:hAnsi="Times New Roman" w:cs="Times New Roman"/>
          <w:noProof/>
          <w:color w:val="000000" w:themeColor="text1"/>
          <w:sz w:val="24"/>
          <w:szCs w:val="24"/>
          <w:lang w:val="en-GB"/>
        </w:rPr>
        <w:t>performing the related action</w:t>
      </w:r>
      <w:r w:rsidR="00FF35AF" w:rsidRPr="007C17A6">
        <w:rPr>
          <w:rFonts w:ascii="Times New Roman" w:hAnsi="Times New Roman" w:cs="Times New Roman"/>
          <w:noProof/>
          <w:sz w:val="24"/>
          <w:szCs w:val="24"/>
          <w:lang w:val="en-GB"/>
        </w:rPr>
        <w:t xml:space="preserve"> towards an object</w:t>
      </w:r>
      <w:r w:rsidR="00FF35AF" w:rsidRPr="007C17A6">
        <w:rPr>
          <w:rFonts w:ascii="Times New Roman" w:hAnsi="Times New Roman" w:cs="Times New Roman"/>
          <w:noProof/>
          <w:color w:val="000000" w:themeColor="text1"/>
          <w:sz w:val="24"/>
          <w:szCs w:val="24"/>
          <w:lang w:val="en-GB"/>
        </w:rPr>
        <w:t xml:space="preserve">, concurrent activity might be present </w:t>
      </w:r>
      <w:r w:rsidR="00310EC5" w:rsidRPr="007C17A6">
        <w:rPr>
          <w:rFonts w:ascii="Times New Roman" w:hAnsi="Times New Roman" w:cs="Times New Roman"/>
          <w:noProof/>
          <w:color w:val="000000" w:themeColor="text1"/>
          <w:sz w:val="24"/>
          <w:szCs w:val="24"/>
          <w:lang w:val="en-GB"/>
        </w:rPr>
        <w:t xml:space="preserve">not just </w:t>
      </w:r>
      <w:r w:rsidR="00FF35AF" w:rsidRPr="007C17A6">
        <w:rPr>
          <w:rFonts w:ascii="Times New Roman" w:hAnsi="Times New Roman" w:cs="Times New Roman"/>
          <w:noProof/>
          <w:color w:val="000000" w:themeColor="text1"/>
          <w:sz w:val="24"/>
          <w:szCs w:val="24"/>
          <w:lang w:val="en-GB"/>
        </w:rPr>
        <w:t>in the perisylvian language areas</w:t>
      </w:r>
      <w:r w:rsidR="00310EC5" w:rsidRPr="007C17A6">
        <w:rPr>
          <w:rFonts w:ascii="Times New Roman" w:hAnsi="Times New Roman" w:cs="Times New Roman"/>
          <w:noProof/>
          <w:color w:val="000000" w:themeColor="text1"/>
          <w:sz w:val="24"/>
          <w:szCs w:val="24"/>
          <w:lang w:val="en-GB"/>
        </w:rPr>
        <w:t xml:space="preserve"> and</w:t>
      </w:r>
      <w:r w:rsidR="00FF35AF" w:rsidRPr="007C17A6">
        <w:rPr>
          <w:rFonts w:ascii="Times New Roman" w:hAnsi="Times New Roman" w:cs="Times New Roman"/>
          <w:noProof/>
          <w:color w:val="000000" w:themeColor="text1"/>
          <w:sz w:val="24"/>
          <w:szCs w:val="24"/>
          <w:lang w:val="en-GB"/>
        </w:rPr>
        <w:t xml:space="preserve"> motor cortices</w:t>
      </w:r>
      <w:r w:rsidR="00310EC5" w:rsidRPr="007C17A6">
        <w:rPr>
          <w:rFonts w:ascii="Times New Roman" w:hAnsi="Times New Roman" w:cs="Times New Roman"/>
          <w:noProof/>
          <w:color w:val="000000" w:themeColor="text1"/>
          <w:sz w:val="24"/>
          <w:szCs w:val="24"/>
          <w:lang w:val="en-GB"/>
        </w:rPr>
        <w:t>,</w:t>
      </w:r>
      <w:r w:rsidR="00FF35AF" w:rsidRPr="007C17A6">
        <w:rPr>
          <w:rFonts w:ascii="Times New Roman" w:hAnsi="Times New Roman" w:cs="Times New Roman"/>
          <w:noProof/>
          <w:color w:val="000000" w:themeColor="text1"/>
          <w:sz w:val="24"/>
          <w:szCs w:val="24"/>
          <w:lang w:val="en-GB"/>
        </w:rPr>
        <w:t xml:space="preserve"> </w:t>
      </w:r>
      <w:r w:rsidR="00310EC5" w:rsidRPr="007C17A6">
        <w:rPr>
          <w:rFonts w:ascii="Times New Roman" w:hAnsi="Times New Roman" w:cs="Times New Roman"/>
          <w:noProof/>
          <w:color w:val="000000" w:themeColor="text1"/>
          <w:sz w:val="24"/>
          <w:szCs w:val="24"/>
          <w:lang w:val="en-GB"/>
        </w:rPr>
        <w:t xml:space="preserve">but </w:t>
      </w:r>
      <w:r w:rsidR="00FF35AF" w:rsidRPr="007C17A6">
        <w:rPr>
          <w:rFonts w:ascii="Times New Roman" w:hAnsi="Times New Roman" w:cs="Times New Roman"/>
          <w:noProof/>
          <w:color w:val="000000" w:themeColor="text1"/>
          <w:sz w:val="24"/>
          <w:szCs w:val="24"/>
          <w:lang w:val="en-GB"/>
        </w:rPr>
        <w:t xml:space="preserve">also in the visual occipital-parietal “where” stream </w:t>
      </w:r>
      <w:r w:rsidR="00FF35AF" w:rsidRPr="007C17A6">
        <w:rPr>
          <w:rFonts w:ascii="Times New Roman" w:hAnsi="Times New Roman" w:cs="Times New Roman"/>
          <w:noProof/>
          <w:color w:val="000000" w:themeColor="text1"/>
          <w:sz w:val="24"/>
          <w:szCs w:val="24"/>
          <w:lang w:val="en-GB"/>
        </w:rPr>
        <w:fldChar w:fldCharType="begin" w:fldLock="1"/>
      </w:r>
      <w:r w:rsidR="007F4106" w:rsidRPr="007C17A6">
        <w:rPr>
          <w:rFonts w:ascii="Times New Roman" w:hAnsi="Times New Roman" w:cs="Times New Roman"/>
          <w:noProof/>
          <w:color w:val="000000" w:themeColor="text1"/>
          <w:sz w:val="24"/>
          <w:szCs w:val="24"/>
          <w:lang w:val="en-GB"/>
        </w:rPr>
        <w:instrText>ADDIN CSL_CITATION { "citationItems" : [ { "id" : "ITEM-1", "itemData" : { "ISSN" : "0166-4328", "author" : [ { "dropping-particle" : "", "family" : "Mishkin", "given" : "M", "non-dropping-particle" : "", "parse-names" : false, "suffix" : "" }, { "dropping-particle" : "", "family" : "Ungerleider", "given" : "L G", "non-dropping-particle" : "", "parse-names" : false, "suffix" : "" } ], "container-title" : "Behavioural Brain Research", "id" : "ITEM-1", "issue" : "1", "issued" : { "date-parts" : [ [ "1982" ] ] }, "page" : "57-77", "publisher" : "Elsevier", "title" : "Contribution of striate input to the visuospatial functions of parieto-preoccipital cortx in monkeys ", "type" : "article-journal", "volume" : "6" }, "uris" : [ "http://www.mendeley.com/documents/?uuid=0e2ca9e8-a1dd-4c1f-ac5d-0707d716958d" ] }, { "id" : "ITEM-2", "itemData" : { "DOI" : "Doi 10.1016/0166-2236(83)90190-X", "ISBN" : "0166-2236", "ISSN" : "01662236", "abstract" : "Evidence is reviewed indicating that striate cortex in the monkey is the source of two multisynaptic corticocortical pathways. One courses ventrally, interconnecting the striate, prestriate, and inferior temporal areas, and enables the visual identification of objects. The other runs dorsally, interconnecting the striate, prestriate, and inferior parietal areas, and allows instead the visual location of objects. How the information carried in these two separate pathways is reintegrated has become an important question for future research.", "author" : [ { "dropping-particle" : "", "family" : "Mishkin", "given" : "M", "non-dropping-particle" : "", "parse-names" : false, "suffix" : "" }, { "dropping-particle" : "", "family" : "Ungerleider", "given" : "L G", "non-dropping-particle" : "", "parse-names" : false, "suffix" : "" }, { "dropping-particle" : "", "family" : "Macko", "given" : "K a", "non-dropping-particle" : "", "parse-names" : false, "suffix" : "" } ], "container-title" : "Trends in Neurosciences", "id" : "ITEM-2", "issued" : { "date-parts" : [ [ "1983" ] ] }, "note" : "Reprint Status:  In File", "page" : "414-417", "title" : "Object vision and spatial vision: Two central pathways", "type" : "article-journal", "volume" : "6" }, "uris" : [ "http://www.mendeley.com/documents/?uuid=1964e8e9-8606-46f0-807d-e48c8650b71a" ] } ], "mendeley" : { "formattedCitation" : "(Mishkin et al., 1983; Mishkin and Ungerleider, 1982)", "plainTextFormattedCitation" : "(Mishkin et al., 1983; Mishkin and Ungerleider, 1982)", "previouslyFormattedCitation" : "(Mishkin et al., 1983; Mishkin and Ungerleider, 1982)" }, "properties" : {  }, "schema" : "https://github.com/citation-style-language/schema/raw/master/csl-citation.json" }</w:instrText>
      </w:r>
      <w:r w:rsidR="00FF35AF" w:rsidRPr="007C17A6">
        <w:rPr>
          <w:rFonts w:ascii="Times New Roman" w:hAnsi="Times New Roman" w:cs="Times New Roman"/>
          <w:noProof/>
          <w:color w:val="000000" w:themeColor="text1"/>
          <w:sz w:val="24"/>
          <w:szCs w:val="24"/>
          <w:lang w:val="en-GB"/>
        </w:rPr>
        <w:fldChar w:fldCharType="separate"/>
      </w:r>
      <w:r w:rsidR="001C3C6B" w:rsidRPr="007C17A6">
        <w:rPr>
          <w:rFonts w:ascii="Times New Roman" w:hAnsi="Times New Roman" w:cs="Times New Roman"/>
          <w:noProof/>
          <w:color w:val="000000" w:themeColor="text1"/>
          <w:sz w:val="24"/>
          <w:szCs w:val="24"/>
          <w:lang w:val="en-GB"/>
        </w:rPr>
        <w:t>(Mishkin et al., 1983; Mishkin and Ungerleider, 1982)</w:t>
      </w:r>
      <w:r w:rsidR="00FF35AF" w:rsidRPr="007C17A6">
        <w:rPr>
          <w:rFonts w:ascii="Times New Roman" w:hAnsi="Times New Roman" w:cs="Times New Roman"/>
          <w:noProof/>
          <w:color w:val="000000" w:themeColor="text1"/>
          <w:sz w:val="24"/>
          <w:szCs w:val="24"/>
          <w:lang w:val="en-GB"/>
        </w:rPr>
        <w:fldChar w:fldCharType="end"/>
      </w:r>
      <w:r w:rsidR="00310EC5" w:rsidRPr="007C17A6">
        <w:rPr>
          <w:rFonts w:ascii="Times New Roman" w:hAnsi="Times New Roman" w:cs="Times New Roman"/>
          <w:noProof/>
          <w:color w:val="000000" w:themeColor="text1"/>
          <w:sz w:val="24"/>
          <w:szCs w:val="24"/>
          <w:lang w:val="en-GB"/>
        </w:rPr>
        <w:t>,</w:t>
      </w:r>
      <w:r w:rsidR="00FF35AF" w:rsidRPr="007C17A6">
        <w:rPr>
          <w:rFonts w:ascii="Times New Roman" w:hAnsi="Times New Roman" w:cs="Times New Roman"/>
          <w:noProof/>
          <w:color w:val="000000" w:themeColor="text1"/>
          <w:sz w:val="24"/>
          <w:szCs w:val="24"/>
          <w:lang w:val="en-GB"/>
        </w:rPr>
        <w:t xml:space="preserve"> </w:t>
      </w:r>
      <w:r w:rsidR="00BC4956" w:rsidRPr="007C17A6">
        <w:rPr>
          <w:rFonts w:ascii="Times New Roman" w:hAnsi="Times New Roman" w:cs="Times New Roman"/>
          <w:noProof/>
          <w:color w:val="000000" w:themeColor="text1"/>
          <w:sz w:val="24"/>
          <w:szCs w:val="24"/>
          <w:lang w:val="en-GB"/>
        </w:rPr>
        <w:t xml:space="preserve">which was </w:t>
      </w:r>
      <w:r w:rsidR="00FF35AF" w:rsidRPr="007C17A6">
        <w:rPr>
          <w:rFonts w:ascii="Times New Roman" w:hAnsi="Times New Roman" w:cs="Times New Roman"/>
          <w:noProof/>
          <w:color w:val="000000" w:themeColor="text1"/>
          <w:sz w:val="24"/>
          <w:szCs w:val="24"/>
          <w:lang w:val="en-GB"/>
        </w:rPr>
        <w:t>not implemented here.</w:t>
      </w:r>
      <w:r w:rsidR="00FF35AF" w:rsidRPr="007C17A6">
        <w:rPr>
          <w:rFonts w:ascii="Times New Roman" w:hAnsi="Times New Roman" w:cs="Times New Roman"/>
          <w:color w:val="000000" w:themeColor="text1"/>
          <w:sz w:val="24"/>
          <w:szCs w:val="24"/>
          <w:lang w:val="en-GB"/>
        </w:rPr>
        <w:t xml:space="preserve"> </w:t>
      </w:r>
      <w:r w:rsidR="00D10E72" w:rsidRPr="007C17A6">
        <w:rPr>
          <w:rFonts w:ascii="Times New Roman" w:hAnsi="Times New Roman" w:cs="Times New Roman"/>
          <w:color w:val="000000" w:themeColor="text1"/>
          <w:sz w:val="24"/>
          <w:szCs w:val="24"/>
          <w:lang w:val="en-GB"/>
        </w:rPr>
        <w:t xml:space="preserve"> Therefore, a</w:t>
      </w:r>
      <w:r w:rsidR="00FF35AF" w:rsidRPr="007C17A6">
        <w:rPr>
          <w:rFonts w:ascii="Times New Roman" w:hAnsi="Times New Roman" w:cs="Times New Roman"/>
          <w:color w:val="000000" w:themeColor="text1"/>
          <w:sz w:val="24"/>
          <w:szCs w:val="24"/>
          <w:lang w:val="en-GB"/>
        </w:rPr>
        <w:t xml:space="preserve">n </w:t>
      </w:r>
      <w:r w:rsidR="00FF35AF" w:rsidRPr="007C17A6">
        <w:rPr>
          <w:rFonts w:ascii="Times New Roman" w:hAnsi="Times New Roman" w:cs="Times New Roman"/>
          <w:noProof/>
          <w:color w:val="000000" w:themeColor="text1"/>
          <w:sz w:val="24"/>
          <w:szCs w:val="24"/>
          <w:lang w:val="en-GB"/>
        </w:rPr>
        <w:t>important</w:t>
      </w:r>
      <w:r w:rsidR="00FF35AF" w:rsidRPr="007C17A6">
        <w:rPr>
          <w:rFonts w:ascii="Times New Roman" w:hAnsi="Times New Roman" w:cs="Times New Roman"/>
          <w:color w:val="000000" w:themeColor="text1"/>
          <w:sz w:val="24"/>
          <w:szCs w:val="24"/>
          <w:lang w:val="en-GB"/>
        </w:rPr>
        <w:t xml:space="preserve"> extension of the </w:t>
      </w:r>
      <w:r w:rsidR="00D10E72" w:rsidRPr="007C17A6">
        <w:rPr>
          <w:rFonts w:ascii="Times New Roman" w:hAnsi="Times New Roman" w:cs="Times New Roman"/>
          <w:color w:val="000000" w:themeColor="text1"/>
          <w:sz w:val="24"/>
          <w:szCs w:val="24"/>
          <w:lang w:val="en-GB"/>
        </w:rPr>
        <w:t xml:space="preserve">present </w:t>
      </w:r>
      <w:r w:rsidR="00FF35AF" w:rsidRPr="007C17A6">
        <w:rPr>
          <w:rFonts w:ascii="Times New Roman" w:hAnsi="Times New Roman" w:cs="Times New Roman"/>
          <w:color w:val="000000" w:themeColor="text1"/>
          <w:sz w:val="24"/>
          <w:szCs w:val="24"/>
          <w:lang w:val="en-GB"/>
        </w:rPr>
        <w:t>model would be to include parietal areas</w:t>
      </w:r>
      <w:r w:rsidR="00D10E72" w:rsidRPr="007C17A6">
        <w:rPr>
          <w:rFonts w:ascii="Times New Roman" w:hAnsi="Times New Roman" w:cs="Times New Roman"/>
          <w:color w:val="000000" w:themeColor="text1"/>
          <w:sz w:val="24"/>
          <w:szCs w:val="24"/>
          <w:lang w:val="en-GB"/>
        </w:rPr>
        <w:t xml:space="preserve"> and the dorsal visual-where stream. Inclusion of left parietal areas would also be strongly motivated experimentally, as they </w:t>
      </w:r>
      <w:r w:rsidR="006D21B6" w:rsidRPr="007C17A6">
        <w:rPr>
          <w:rFonts w:ascii="Times New Roman" w:hAnsi="Times New Roman" w:cs="Times New Roman"/>
          <w:color w:val="000000" w:themeColor="text1"/>
          <w:sz w:val="24"/>
          <w:szCs w:val="24"/>
          <w:lang w:val="en-GB"/>
        </w:rPr>
        <w:t xml:space="preserve">are well </w:t>
      </w:r>
      <w:r w:rsidR="00FF35AF" w:rsidRPr="007C17A6">
        <w:rPr>
          <w:rFonts w:ascii="Times New Roman" w:hAnsi="Times New Roman" w:cs="Times New Roman"/>
          <w:color w:val="000000" w:themeColor="text1"/>
          <w:sz w:val="24"/>
          <w:szCs w:val="24"/>
          <w:lang w:val="en-GB"/>
        </w:rPr>
        <w:t xml:space="preserve">known to play a role in general language processing </w:t>
      </w:r>
      <w:r w:rsidR="00FF35AF"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"10.1038/nrn2811", "ISBN" : "1471-0048 (Electronic)\\n1471-003X (Linking)", "ISSN" : "1471-003X", "PMID" : "20383203", "abstract" : "Action and perception are functionally linked in the brain, but a hotly debated question is whether perception and comprehension of stimuli depend on motor circuits. Brain language mechanisms are ideal for addressing this question. Neuroimaging investigations have found specific motor activations when subjects understand speech sounds, word meanings and sentence structures. Moreover, studies involving transcranial magnetic stimulation and patients with lesions affecting inferior frontal regions of the brain have shown contributions of motor circuits to the comprehension of phonemes, semantic categories and grammar. These data show that language comprehension benefits from frontocentral action systems, indicating that action and perception circuits are interdependent.", "author" : [ { "dropping-particle" : "", "family" : "Pulverm\u00fcller", "given" : "Friedemann", "non-dropping-particle" : "", "parse-names" : false, "suffix" : "" }, { "dropping-particle" : "", "family" : "Fadiga", "given" : "Luciano", "non-dropping-particle" : "", "parse-names" : false, "suffix" : "" } ], "container-title" : "Nature reviews. Neuroscience", "id" : "ITEM-1", "issue" : "5", "issued" : { "date-parts" : [ [ "2010", "5" ] ] }, "page" : "351-360", "publisher" : "Nature Publishing Group", "title" : "Active perception: sensorimotor circuits as a cortical basis for language.", "type" : "article-journal", "volume" : "11" }, "uris" : [ "http://www.mendeley.com/documents/?uuid=d775f2cf-7003-4d84-93e0-a38870d6a377" ] } ], "mendeley" : { "formattedCitation" : "(Pulverm\u00fcller and Fadiga, 2010)", "plainTextFormattedCitation" : "(Pulverm\u00fcller and Fadiga, 2010)", "previouslyFormattedCitation" : "(Pulverm\u00fcller and Fadiga, 2010)" }, "properties" : {  }, "schema" : "https://github.com/citation-style-language/schema/raw/master/csl-citation.json" }</w:instrText>
      </w:r>
      <w:r w:rsidR="00FF35AF" w:rsidRPr="007C17A6">
        <w:rPr>
          <w:rFonts w:ascii="Times New Roman" w:hAnsi="Times New Roman" w:cs="Times New Roman"/>
          <w:sz w:val="24"/>
          <w:szCs w:val="24"/>
        </w:rPr>
        <w:fldChar w:fldCharType="separate"/>
      </w:r>
      <w:r w:rsidR="00C00A10" w:rsidRPr="007C17A6">
        <w:rPr>
          <w:rFonts w:ascii="Times New Roman" w:hAnsi="Times New Roman" w:cs="Times New Roman"/>
          <w:noProof/>
          <w:color w:val="000000" w:themeColor="text1"/>
          <w:sz w:val="24"/>
          <w:szCs w:val="24"/>
          <w:lang w:val="en-GB"/>
        </w:rPr>
        <w:t>(Pulvermüller and Fadiga, 2010)</w:t>
      </w:r>
      <w:r w:rsidR="00FF35AF" w:rsidRPr="007C17A6">
        <w:rPr>
          <w:rFonts w:ascii="Times New Roman" w:hAnsi="Times New Roman" w:cs="Times New Roman"/>
          <w:sz w:val="24"/>
          <w:szCs w:val="24"/>
        </w:rPr>
        <w:fldChar w:fldCharType="end"/>
      </w:r>
      <w:r w:rsidR="00FF35AF" w:rsidRPr="007C17A6">
        <w:rPr>
          <w:rFonts w:ascii="Times New Roman" w:hAnsi="Times New Roman" w:cs="Times New Roman"/>
          <w:color w:val="000000" w:themeColor="text1"/>
          <w:sz w:val="24"/>
          <w:szCs w:val="24"/>
          <w:lang w:val="en-GB"/>
        </w:rPr>
        <w:t xml:space="preserve"> and also in </w:t>
      </w:r>
      <w:r w:rsidR="00FF35AF" w:rsidRPr="007C17A6">
        <w:rPr>
          <w:rFonts w:ascii="Times New Roman" w:hAnsi="Times New Roman" w:cs="Times New Roman"/>
          <w:noProof/>
          <w:color w:val="000000" w:themeColor="text1"/>
          <w:sz w:val="24"/>
          <w:szCs w:val="24"/>
          <w:lang w:val="en-GB"/>
        </w:rPr>
        <w:t>category</w:t>
      </w:r>
      <w:r w:rsidR="00136E73" w:rsidRPr="007C17A6">
        <w:rPr>
          <w:rFonts w:ascii="Times New Roman" w:hAnsi="Times New Roman" w:cs="Times New Roman"/>
          <w:noProof/>
          <w:color w:val="000000" w:themeColor="text1"/>
          <w:sz w:val="24"/>
          <w:szCs w:val="24"/>
          <w:lang w:val="en-GB"/>
        </w:rPr>
        <w:t>-</w:t>
      </w:r>
      <w:r w:rsidR="00FF35AF" w:rsidRPr="007C17A6">
        <w:rPr>
          <w:rFonts w:ascii="Times New Roman" w:hAnsi="Times New Roman" w:cs="Times New Roman"/>
          <w:noProof/>
          <w:color w:val="000000" w:themeColor="text1"/>
          <w:sz w:val="24"/>
          <w:szCs w:val="24"/>
          <w:lang w:val="en-GB"/>
        </w:rPr>
        <w:t>specific</w:t>
      </w:r>
      <w:r w:rsidR="00FF35AF" w:rsidRPr="007C17A6">
        <w:rPr>
          <w:rFonts w:ascii="Times New Roman" w:hAnsi="Times New Roman" w:cs="Times New Roman"/>
          <w:color w:val="000000" w:themeColor="text1"/>
          <w:sz w:val="24"/>
          <w:szCs w:val="24"/>
          <w:lang w:val="en-GB"/>
        </w:rPr>
        <w:t xml:space="preserve"> processing of prepositions, number and tool words </w:t>
      </w:r>
      <w:r w:rsidR="00FF35AF" w:rsidRPr="007C17A6">
        <w:rPr>
          <w:rFonts w:ascii="Times New Roman" w:hAnsi="Times New Roman" w:cs="Times New Roman"/>
          <w:sz w:val="24"/>
          <w:szCs w:val="24"/>
        </w:rPr>
        <w:fldChar w:fldCharType="begin" w:fldLock="1"/>
      </w:r>
      <w:r w:rsidR="007F4106" w:rsidRPr="007C17A6">
        <w:rPr>
          <w:rFonts w:ascii="Times New Roman" w:hAnsi="Times New Roman" w:cs="Times New Roman"/>
          <w:sz w:val="24"/>
          <w:szCs w:val="24"/>
        </w:rPr>
        <w:instrText>ADDIN CSL_CITATION { "citationItems" : [ { "id" : "ITEM-1", "itemData" : { "DOI" : "10.1016/j.tics.2011.10.001", "ISBN" : "2122633255", "ISSN" : "13646613", "PMID" : "22001867", "abstract" : "Semantic memory includes all acquired knowledge about the world and is the basis for nearly all human activity, yet its neurobiological foundation is only now becoming clear. Recent neuroimaging studies demonstrate two striking results: the participation of modality-specific sensory, motor, and emotion systems in language comprehension, and the existence of large brain regions that participate in comprehension tasks but are not modality-specific. These latter regions, which include the inferior parietal lobe and much of the temporal lobe, lie at convergences of multiple perceptual processing streams. These convergences enable increasingly abstract, supramodal representations of perceptual experience that support a variety of conceptual functions including object recognition, social cognition, language, and the remarkable human capacity to remember the past and imagine the future. ?? 2011 Elsevier Ltd.", "author" : [ { "dropping-particle" : "", "family" : "Binder", "given" : "Jeffrey R.", "non-dropping-particle" : "", "parse-names" : false, "suffix" : "" }, { "dropping-particle" : "", "family" : "Desai", "given" : "Rutvik H.", "non-dropping-particle" : "", "parse-names" : false, "suffix" : "" } ], "container-title" : "Trends in Cognitive Sciences", "id" : "ITEM-1", "issue" : "11", "issued" : { "date-parts" : [ [ "2011" ] ] }, "page" : "527-536", "title" : "The neurobiology of semantic memory", "type" : "article-journal", "volume" : "15" }, "uris" : [ "http://www.mendeley.com/documents/?uuid=43318fa4-cf1d-4698-91cf-e5c16b77ff8e" ] }, { "id" : "ITEM-2", "itemData" : { "DOI" : "10.1097/00001756-199511000-00014", "ISBN" : "0959-4965", "ISSN" : "0959-4965", "PMID" : "8595192", "abstract" : "Selective impairment of word categories such as nouns vs verbs has suggested a regional representation of lexical knowledge in the human brain. The time course of visual word processing was investigated using event-related potentials (ERPs) in normal adults. Subjects performed a word classification task with five categories of stimuli: animal names, verbs, numerals, proper names and meaningless consonant strings. A bilateral posterior ERP difference between words and consonants first appeared 192 ms following stimulus onset, probably reflecting the construction of the visual word form. Category-specific ERP differences began to appear around 260 ms. There was a left temporo-parietal negativity for animal names and verbs, a left inferior temporal negativity for proper names, and a bilateral positivity for numerals. These results provide a bilateral parietal positivity evidence for timing and coarse localization of category-specific word processing in the normal human brain.", "author" : [ { "dropping-particle" : "", "family" : "Dehaene", "given" : "Stanislas", "non-dropping-particle" : "", "parse-names" : false, "suffix" : "" } ], "container-title" : "Neuroreport", "id" : "ITEM-2", "issue" : "16", "issued" : { "date-parts" : [ [ "1995" ] ] }, "page" : "2153-7", "title" : "Electrophysiological evidence for category-specific word processing in the normal human brain.", "type" : "article-journal", "volume" : "6" }, "uris" : [ "http://www.mendeley.com/documents/?uuid=46e2f3d7-715a-40ad-8ebd-fec078b9bee5" ] }, { "id" : "ITEM-3", "itemData" : { "DOI" : "10.1016/j.cortex.2017.04.016", "ISSN" : "00109452", "abstract" : "There is general agreement that perisylvian language cortex plays a major role in lexical and semantic processing; but the contribution of additional, more widespread, brain areas in the processing of different semantic word categories remains controversial. We investigated word processing in two groups of patients whose neurodegenerative diseases preferentially affect specific parts of the brain, to determine whether their performance would vary as a function of semantic categories proposed to recruit those brain regions. Cohorts with (i) Semantic Dementia (SD), who have anterior temporal-lobe atrophy, and (ii) Posterior Cortical Atrophy (PCA), who have predominantly parieto-occipital atrophy, performed a lexical decision test on words from five different lexico-semantic categories: colour (e.g., yellow), form (oval), number (seven), spatial prepositions (under) and function words (also). Sets of pseudo-word foils matched the target words in length and bi-/tri-gram frequency. Word-frequency was matched between the two visual word categories (colour and form) and across the three other categories (number, prepositions, function words). Age-matched healthy individuals served as controls. Although broad word processing deficits were apparent in both patient groups, the deficit was strongest for colour words in SD and for spatial prepositions in PCA. The patterns of performance on the lexical decision task demonstrate (a) general lexicosemantic processing deficits in both groups, though more prominent in SD than in PCA, and (b) differential involvement of anterior-temporal and posterior-parietal cortex in the processing of specific semantic categories of words.", "author" : [ { "dropping-particle" : "", "family" : "Shebani", "given" : "Zubaida", "non-dropping-particle" : "", "parse-names" : false, "suffix" : "" }, { "dropping-particle" : "", "family" : "Patterson", "given" : "Karalyn", "non-dropping-particle" : "", "parse-names" : false, "suffix" : "" }, { "dropping-particle" : "", "family" : "Nestor", "given" : "Peter J.", "non-dropping-particle" : "", "parse-names" : false, "suffix" : "" }, { "dropping-particle" : "", "family" : "Diaz-de-Grenu", "given" : "Lara Z.", "non-dropping-particle" : "", "parse-names" : false, "suffix" : "" }, { "dropping-particle" : "", "family" : "Dawson", "given" : "Kate", "non-dropping-particle" : "", "parse-names" : false, "suffix" : "" }, { "dropping-particle" : "", "family" : "Pulverm\u00fcller", "given" : "Friedemann", "non-dropping-particle" : "", "parse-names" : false, "suffix" : "" } ], "container-title" : "Cortex", "id" : "ITEM-3", "issue" : "in press", "issued" : { "date-parts" : [ [ "2017" ] ] }, "title" : "Semantic Word Category Processing in Semantic Dementia and Posterior Cortical Atrophy", "type" : "article-journal", "volume" : "in press" }, "uris" : [ "http://www.mendeley.com/documents/?uuid=0b4c188a-fb85-4200-a5a2-d5989897e3a1" ] }, { "id" : "ITEM-4", "itemData" : { "DOI" : "10.1016/j.neuroimage.2011.11.037", "ISBN" : "1053-8119", "ISSN" : "10538119", "PMID" : "22133748", "abstract" : "The embodied cognition framework suggests that neural systems for perception and action are engaged during higher cognitive processes. In an event-related fMRI study, we tested this claim for the abstract domain of numerical symbol processing: is the human cortical motor system part of the representation of numbers, and is organization of numerical knowledge influenced by individual finger counting habits? Developmental studies suggest a link between numerals and finger counting habits due to the acquisition of numerical skills through finger counting in childhood. In the present study, digits 1 to 9 and the corresponding number words were presented visually to adults with different finger counting habits, i.e. left- and right-starters who reported that they usually start counting small numbers with their left and right hand, respectively. Despite the absence of overt hand movements, the hemisphere contralateral to the hand used for counting small numbers was activated when small numbers were presented. The correspondence between finger counting habits and hemispheric motor activation is consistent with an intrinsic functional link between finger counting and number processing. . \u00a9 2011 Elsevier Inc..", "author" : [ { "dropping-particle" : "", "family" : "Tschentscher", "given" : "Nadja", "non-dropping-particle" : "", "parse-names" : false, "suffix" : "" }, { "dropping-particle" : "", "family" : "Hauk", "given" : "Olaf", "non-dropping-particle" : "", "parse-names" : fal</w:instrText>
      </w:r>
      <w:r w:rsidR="007F4106" w:rsidRPr="007C17A6">
        <w:rPr>
          <w:rFonts w:ascii="Times New Roman" w:hAnsi="Times New Roman" w:cs="Times New Roman"/>
          <w:sz w:val="24"/>
          <w:szCs w:val="24"/>
          <w:lang w:val="de-DE"/>
        </w:rPr>
        <w:instrText>se, "suffix" : "" }, { "dropping-particle" : "", "family" : "Fischer", "given" : "Martin H.", "non-dropping-particle" : "", "parse-names" : false, "suffix" : "" }, { "dropping-particle" : "", "family" : "Pulverm\u00fcller", "given" : "Friedemann", "non-dropping-particle" : "", "parse-names" : false, "suffix" : "" } ], "container-title" : "NeuroImage", "edition" : "2011/12/03", "id" : "ITEM-4", "issue" : "4", "issued" : { "date-parts" : [ [ "2012" ] ] }, "language" : "eng", "note" : "Tschentscher, Nadja\nHauk, Olaf\nFischer, Martin H\nPulvermuller, Friedemann\nMC_U105580445/Medical Research Council/United Kingdom\nNeuroimage. 2012 Feb 15;59(4):3139-48. doi: 10.1016/j.neuroimage.2011.11.037. Epub 2011 Nov 20.", "page" : "3139-3148", "title" : "You can count on the motor cortex: Finger counting habits modulate motor cortex activation evoked by numbers", "type" : "article-journal", "volume" : "59" }, "uris" : [ "http://www.mendeley.com/documents/?uuid=ff99e9eb-cee2-4919-9fbf-c257270c54c3" ] } ], "mendeley" : { "formattedCitation" : "(Binder and Desai, 2011; Dehaene, 1995; Shebani et al., 2017; Tschentscher et al., 2012)", "plainTextFormattedCitation" : "(Binder and Desai, 2011; Dehaene, 1995; Shebani et al., 2017; Tschentscher et al., 2012)", "previouslyFormattedCitation" : "(Binder and Desai, 2011; Dehaene, 1995; Shebani et al., 2017; Tschentscher et al., 2012)" }, "properties" : {  }, "schema" : "https://github.com/citation-style-language/schema/raw/master/csl-citation.json" }</w:instrText>
      </w:r>
      <w:r w:rsidR="00FF35AF" w:rsidRPr="007C17A6">
        <w:rPr>
          <w:rFonts w:ascii="Times New Roman" w:hAnsi="Times New Roman" w:cs="Times New Roman"/>
          <w:sz w:val="24"/>
          <w:szCs w:val="24"/>
        </w:rPr>
        <w:fldChar w:fldCharType="separate"/>
      </w:r>
      <w:r w:rsidR="00C00A10" w:rsidRPr="007C17A6">
        <w:rPr>
          <w:rFonts w:ascii="Times New Roman" w:hAnsi="Times New Roman" w:cs="Times New Roman"/>
          <w:noProof/>
          <w:color w:val="000000" w:themeColor="text1"/>
          <w:sz w:val="24"/>
          <w:szCs w:val="24"/>
          <w:lang w:val="de-DE"/>
        </w:rPr>
        <w:t>(Binder and Desai, 2011; Dehaene, 1995; Shebani et al., 2017; Tschentscher et al., 2012)</w:t>
      </w:r>
      <w:r w:rsidR="00FF35AF" w:rsidRPr="007C17A6">
        <w:rPr>
          <w:rFonts w:ascii="Times New Roman" w:hAnsi="Times New Roman" w:cs="Times New Roman"/>
          <w:sz w:val="24"/>
          <w:szCs w:val="24"/>
        </w:rPr>
        <w:fldChar w:fldCharType="end"/>
      </w:r>
      <w:r w:rsidR="00FF35AF" w:rsidRPr="007C17A6">
        <w:rPr>
          <w:rFonts w:ascii="Times New Roman" w:hAnsi="Times New Roman" w:cs="Times New Roman"/>
          <w:sz w:val="24"/>
          <w:szCs w:val="24"/>
          <w:lang w:val="de-DE"/>
        </w:rPr>
        <w:t>.</w:t>
      </w:r>
      <w:r w:rsidR="00BC4956" w:rsidRPr="007C17A6">
        <w:rPr>
          <w:rFonts w:ascii="Times New Roman" w:hAnsi="Times New Roman" w:cs="Times New Roman"/>
          <w:color w:val="000000" w:themeColor="text1"/>
          <w:sz w:val="24"/>
          <w:szCs w:val="24"/>
          <w:lang w:val="de-DE"/>
        </w:rPr>
        <w:t xml:space="preserve"> </w:t>
      </w:r>
      <w:r w:rsidR="00E5421A" w:rsidRPr="007C17A6">
        <w:rPr>
          <w:rFonts w:ascii="Times New Roman" w:hAnsi="Times New Roman" w:cs="Times New Roman"/>
          <w:color w:val="000000" w:themeColor="text1"/>
          <w:sz w:val="24"/>
          <w:szCs w:val="24"/>
        </w:rPr>
        <w:t xml:space="preserve">Further </w:t>
      </w:r>
      <w:r w:rsidR="00BC4956" w:rsidRPr="007C17A6">
        <w:rPr>
          <w:rFonts w:ascii="Times New Roman" w:hAnsi="Times New Roman" w:cs="Times New Roman"/>
          <w:color w:val="000000" w:themeColor="text1"/>
          <w:sz w:val="24"/>
          <w:szCs w:val="24"/>
        </w:rPr>
        <w:t xml:space="preserve">model </w:t>
      </w:r>
      <w:r w:rsidR="00E5421A" w:rsidRPr="007C17A6">
        <w:rPr>
          <w:rFonts w:ascii="Times New Roman" w:hAnsi="Times New Roman" w:cs="Times New Roman"/>
          <w:color w:val="000000" w:themeColor="text1"/>
          <w:sz w:val="24"/>
          <w:szCs w:val="24"/>
        </w:rPr>
        <w:t xml:space="preserve">extensions should address other forms of language learning. Here we investigate </w:t>
      </w:r>
      <w:r w:rsidR="00BC4956" w:rsidRPr="007C17A6">
        <w:rPr>
          <w:rFonts w:ascii="Times New Roman" w:hAnsi="Times New Roman" w:cs="Times New Roman"/>
          <w:color w:val="000000" w:themeColor="text1"/>
          <w:sz w:val="24"/>
          <w:szCs w:val="24"/>
        </w:rPr>
        <w:t xml:space="preserve">but </w:t>
      </w:r>
      <w:r w:rsidR="00E5421A" w:rsidRPr="007C17A6">
        <w:rPr>
          <w:rFonts w:ascii="Times New Roman" w:hAnsi="Times New Roman" w:cs="Times New Roman"/>
          <w:color w:val="000000" w:themeColor="text1"/>
          <w:sz w:val="24"/>
          <w:szCs w:val="24"/>
        </w:rPr>
        <w:t xml:space="preserve">one aspect of word meaning </w:t>
      </w:r>
      <w:proofErr w:type="spellStart"/>
      <w:r w:rsidR="00E5421A" w:rsidRPr="007C17A6">
        <w:rPr>
          <w:rFonts w:ascii="Times New Roman" w:hAnsi="Times New Roman" w:cs="Times New Roman"/>
          <w:color w:val="000000" w:themeColor="text1"/>
          <w:sz w:val="24"/>
          <w:szCs w:val="24"/>
        </w:rPr>
        <w:t>acq</w:t>
      </w:r>
      <w:proofErr w:type="spellEnd"/>
      <w:r w:rsidR="00E5421A" w:rsidRPr="007C17A6">
        <w:rPr>
          <w:rFonts w:ascii="Times New Roman" w:hAnsi="Times New Roman" w:cs="Times New Roman"/>
          <w:color w:val="000000" w:themeColor="text1"/>
          <w:sz w:val="24"/>
          <w:szCs w:val="24"/>
          <w:lang w:val="en-GB"/>
        </w:rPr>
        <w:t>uisition, namely associative learning between a word and its referents</w:t>
      </w:r>
      <w:r w:rsidR="00D10E72" w:rsidRPr="007C17A6">
        <w:rPr>
          <w:rFonts w:ascii="Times New Roman" w:hAnsi="Times New Roman" w:cs="Times New Roman"/>
          <w:color w:val="000000" w:themeColor="text1"/>
          <w:sz w:val="24"/>
          <w:szCs w:val="24"/>
          <w:lang w:val="en-GB"/>
        </w:rPr>
        <w:t xml:space="preserve">, which represents only a very basic step of semantic learning. To capture other types of semantic learning, the emergence of semantic knowledge from variable contexts need to be covered along with the </w:t>
      </w:r>
      <w:r w:rsidRPr="007C17A6">
        <w:rPr>
          <w:rFonts w:ascii="Times New Roman" w:hAnsi="Times New Roman" w:cs="Times New Roman"/>
          <w:color w:val="000000" w:themeColor="text1"/>
          <w:sz w:val="24"/>
          <w:szCs w:val="24"/>
          <w:lang w:val="en-GB"/>
        </w:rPr>
        <w:t xml:space="preserve">semantic grounding of </w:t>
      </w:r>
      <w:r w:rsidR="00E5421A" w:rsidRPr="007C17A6">
        <w:rPr>
          <w:rFonts w:ascii="Times New Roman" w:hAnsi="Times New Roman" w:cs="Times New Roman"/>
          <w:color w:val="000000" w:themeColor="text1"/>
          <w:sz w:val="24"/>
          <w:szCs w:val="24"/>
          <w:lang w:val="en-GB"/>
        </w:rPr>
        <w:t xml:space="preserve">words learned from texts, </w:t>
      </w:r>
      <w:r w:rsidRPr="007C17A6">
        <w:rPr>
          <w:rFonts w:ascii="Times New Roman" w:hAnsi="Times New Roman" w:cs="Times New Roman"/>
          <w:color w:val="000000" w:themeColor="text1"/>
          <w:sz w:val="24"/>
          <w:szCs w:val="24"/>
          <w:lang w:val="en-GB"/>
        </w:rPr>
        <w:t xml:space="preserve">where </w:t>
      </w:r>
      <w:r w:rsidR="00E5421A" w:rsidRPr="007C17A6">
        <w:rPr>
          <w:rFonts w:ascii="Times New Roman" w:hAnsi="Times New Roman" w:cs="Times New Roman"/>
          <w:noProof/>
          <w:color w:val="000000" w:themeColor="text1"/>
          <w:sz w:val="24"/>
          <w:szCs w:val="24"/>
          <w:lang w:val="en-GB"/>
        </w:rPr>
        <w:t xml:space="preserve">semantic links </w:t>
      </w:r>
      <w:r w:rsidRPr="007C17A6">
        <w:rPr>
          <w:rFonts w:ascii="Times New Roman" w:hAnsi="Times New Roman" w:cs="Times New Roman"/>
          <w:noProof/>
          <w:color w:val="000000" w:themeColor="text1"/>
          <w:sz w:val="24"/>
          <w:szCs w:val="24"/>
          <w:lang w:val="en-GB"/>
        </w:rPr>
        <w:t xml:space="preserve">may </w:t>
      </w:r>
      <w:r w:rsidR="00E5421A" w:rsidRPr="007C17A6">
        <w:rPr>
          <w:rFonts w:ascii="Times New Roman" w:hAnsi="Times New Roman" w:cs="Times New Roman"/>
          <w:noProof/>
          <w:color w:val="000000" w:themeColor="text1"/>
          <w:sz w:val="24"/>
          <w:szCs w:val="24"/>
          <w:lang w:val="en-GB"/>
        </w:rPr>
        <w:t>be explained by co-activation of linguistic representations</w:t>
      </w:r>
      <w:r w:rsidR="00E5421A" w:rsidRPr="007C17A6">
        <w:rPr>
          <w:rFonts w:ascii="Times New Roman" w:hAnsi="Times New Roman" w:cs="Times New Roman"/>
          <w:color w:val="000000" w:themeColor="text1"/>
          <w:sz w:val="24"/>
          <w:szCs w:val="24"/>
          <w:lang w:val="en-GB"/>
        </w:rPr>
        <w:t>.</w:t>
      </w:r>
      <w:r w:rsidR="0091537C" w:rsidRPr="007C17A6">
        <w:rPr>
          <w:rFonts w:ascii="Times New Roman" w:hAnsi="Times New Roman" w:cs="Times New Roman"/>
          <w:color w:val="000000" w:themeColor="text1"/>
          <w:sz w:val="24"/>
          <w:szCs w:val="24"/>
          <w:lang w:val="en-GB"/>
        </w:rPr>
        <w:t xml:space="preserve"> </w:t>
      </w:r>
      <w:r w:rsidR="00E5421A" w:rsidRPr="007C17A6">
        <w:rPr>
          <w:rFonts w:ascii="Times New Roman" w:hAnsi="Times New Roman" w:cs="Times New Roman"/>
          <w:color w:val="000000" w:themeColor="text1"/>
          <w:sz w:val="24"/>
          <w:szCs w:val="24"/>
          <w:lang w:val="en-GB"/>
        </w:rPr>
        <w:t xml:space="preserve">Future </w:t>
      </w:r>
      <w:r w:rsidR="00E5421A" w:rsidRPr="007C17A6">
        <w:rPr>
          <w:rFonts w:ascii="Times New Roman" w:hAnsi="Times New Roman" w:cs="Times New Roman"/>
          <w:color w:val="000000" w:themeColor="text1"/>
          <w:sz w:val="24"/>
          <w:szCs w:val="24"/>
          <w:lang w:val="en-GB"/>
        </w:rPr>
        <w:lastRenderedPageBreak/>
        <w:t xml:space="preserve">work may address with realistic neuronal networks how, based on a kernel of early acquired words semantically grounded in referent object and action contexts, the co-occurrence of words in texts can lead to the formation of novel semantic circuits and semantic representations </w:t>
      </w:r>
      <w:r w:rsidR="00E5421A" w:rsidRPr="007C17A6">
        <w:rPr>
          <w:rFonts w:ascii="Times New Roman" w:hAnsi="Times New Roman" w:cs="Times New Roman"/>
        </w:rPr>
        <w:fldChar w:fldCharType="begin" w:fldLock="1"/>
      </w:r>
      <w:r w:rsidR="007F4106" w:rsidRPr="007C17A6">
        <w:rPr>
          <w:rFonts w:ascii="Times New Roman" w:hAnsi="Times New Roman" w:cs="Times New Roman"/>
        </w:rPr>
        <w:instrText>ADDIN CSL_CITATION { "citationItems" : [ { "id" : "ITEM-1", "itemData" : { "ISSN" : "0893-6080", "author" : [ { "dropping-particle" : "", "family" : "Stramandinoli", "given" : "Francesca", "non-dropping-particle" : "", "parse-names" : false, "suffix" : "" }, { "dropping-particle" : "", "family" : "Marocco", "given" : "Davide", "non-dropping-particle" : "", "parse-names" : false, "suffix" : "" }, { "dropping-particle" : "", "family" : "Cangelosi", "given" : "Angelo", "non-dropping-particle" : "", "parse-names" : false, "suffix" : "" } ], "container-title" : "Neural Networks", "id" : "ITEM-1", "issued" : { "date-parts" : [ [ "2012" ] ] }, "page" : "165-173", "publisher" : "Elsevier", "title" : "The grounding of higher order concepts in action and language: a cognitive robotics model", "type" : "article-journal", "volume" : "32" }, "uris" : [ "http://www.mendeley.com/documents/?uuid=9284c561-7ae0-45b9-a9b4-056170823a7b", "http://www.mendeley.com/documents/?uuid=e107b711-2235-45df-ad43-9ccfadb98ff4", "http://www.mendeley.com/documents/?uuid=b4818ef6-905c-40d8-8936-bb739fa551d2" ] }, { "id" : "ITEM-2", "itemData" : { "author" : [ { "dropping-particle" : "", "family" : "Harnad", "given" : "Stevan", "non-dropping-particle" : "", "parse-names" : false, "suffix" : "" } ], "container-title" : "Oxford University Press", "id" : "ITEM-2", "issued" : { "date-parts" : [ [ "2012" ] ] }, "publisher" : "Oxford University Press", "title" : "From sensorimotor categories and pantomime to grounded symbols and propositions", "type" : "article-journal" }, "uris" : [ "http://www.mendeley.com/documents/?uuid=55433878-d9f7-41fe-9609-bc443afea9f9" ] } ], "mendeley" : { "formattedCitation" : "(Harnad, 2012; Stramandinoli et al., 2012)", "plainTextFormattedCitation" : "(Harnad, 2012; Stramandinoli et al., 2012)", "previouslyFormattedCitation" : "(Harnad, 2012; Stramandinoli et al., 2012)" }, "properties" : {  }, "schema" : "https://github.com/citation-style-language/schema/raw/master/csl-citation.json" }</w:instrText>
      </w:r>
      <w:r w:rsidR="00E5421A" w:rsidRPr="007C17A6">
        <w:rPr>
          <w:rFonts w:ascii="Times New Roman" w:hAnsi="Times New Roman" w:cs="Times New Roman"/>
        </w:rPr>
        <w:fldChar w:fldCharType="separate"/>
      </w:r>
      <w:bookmarkStart w:id="199" w:name="__Fieldmark__2190_1687356023"/>
      <w:r w:rsidR="00C00A10" w:rsidRPr="007C17A6">
        <w:rPr>
          <w:rFonts w:ascii="Times New Roman" w:hAnsi="Times New Roman" w:cs="Times New Roman"/>
          <w:noProof/>
          <w:color w:val="000000" w:themeColor="text1"/>
          <w:sz w:val="24"/>
          <w:szCs w:val="24"/>
          <w:lang w:val="en-GB"/>
        </w:rPr>
        <w:t>(Harnad, 2012; Stramandinoli et al., 2012)</w:t>
      </w:r>
      <w:r w:rsidR="00E5421A" w:rsidRPr="007C17A6">
        <w:rPr>
          <w:rFonts w:ascii="Times New Roman" w:hAnsi="Times New Roman" w:cs="Times New Roman"/>
        </w:rPr>
        <w:fldChar w:fldCharType="end"/>
      </w:r>
      <w:bookmarkEnd w:id="199"/>
      <w:r w:rsidR="00E5421A" w:rsidRPr="007C17A6">
        <w:rPr>
          <w:rFonts w:ascii="Times New Roman" w:hAnsi="Times New Roman" w:cs="Times New Roman"/>
          <w:color w:val="000000" w:themeColor="text1"/>
          <w:sz w:val="24"/>
          <w:szCs w:val="24"/>
          <w:lang w:val="en-GB"/>
        </w:rPr>
        <w:t>.</w:t>
      </w:r>
      <w:r w:rsidR="009551B1" w:rsidRPr="007C17A6">
        <w:rPr>
          <w:rFonts w:ascii="Times New Roman" w:hAnsi="Times New Roman" w:cs="Times New Roman"/>
          <w:color w:val="000000" w:themeColor="text1"/>
          <w:sz w:val="24"/>
          <w:szCs w:val="24"/>
          <w:lang w:val="en-GB"/>
        </w:rPr>
        <w:t xml:space="preserve"> </w:t>
      </w:r>
      <w:r w:rsidR="00670101" w:rsidRPr="007C17A6">
        <w:rPr>
          <w:rFonts w:ascii="Times New Roman" w:hAnsi="Times New Roman" w:cs="Times New Roman"/>
          <w:color w:val="000000" w:themeColor="text1"/>
          <w:sz w:val="24"/>
          <w:szCs w:val="24"/>
          <w:lang w:val="en-GB"/>
        </w:rPr>
        <w:t>F</w:t>
      </w:r>
      <w:r w:rsidR="00A81FE9" w:rsidRPr="007C17A6">
        <w:rPr>
          <w:rFonts w:ascii="Times New Roman" w:hAnsi="Times New Roman" w:cs="Times New Roman"/>
          <w:color w:val="000000" w:themeColor="text1"/>
          <w:sz w:val="24"/>
          <w:szCs w:val="24"/>
          <w:lang w:val="en-GB"/>
        </w:rPr>
        <w:t>urthermore</w:t>
      </w:r>
      <w:r w:rsidRPr="007C17A6">
        <w:rPr>
          <w:rFonts w:ascii="Times New Roman" w:hAnsi="Times New Roman" w:cs="Times New Roman"/>
          <w:color w:val="000000" w:themeColor="text1"/>
          <w:sz w:val="24"/>
          <w:szCs w:val="24"/>
          <w:lang w:val="en-GB"/>
        </w:rPr>
        <w:t>, f</w:t>
      </w:r>
      <w:r w:rsidR="00670101" w:rsidRPr="007C17A6">
        <w:rPr>
          <w:rFonts w:ascii="Times New Roman" w:hAnsi="Times New Roman" w:cs="Times New Roman"/>
          <w:color w:val="000000" w:themeColor="text1"/>
          <w:sz w:val="24"/>
          <w:szCs w:val="24"/>
          <w:lang w:val="en-GB"/>
        </w:rPr>
        <w:t xml:space="preserve">uture simulations </w:t>
      </w:r>
      <w:r w:rsidR="00CA2CFE" w:rsidRPr="007C17A6">
        <w:rPr>
          <w:rFonts w:ascii="Times New Roman" w:hAnsi="Times New Roman" w:cs="Times New Roman"/>
          <w:color w:val="000000" w:themeColor="text1"/>
          <w:sz w:val="24"/>
          <w:szCs w:val="24"/>
          <w:lang w:val="en-GB"/>
        </w:rPr>
        <w:t>sh</w:t>
      </w:r>
      <w:r w:rsidR="00670101" w:rsidRPr="007C17A6">
        <w:rPr>
          <w:rFonts w:ascii="Times New Roman" w:hAnsi="Times New Roman" w:cs="Times New Roman"/>
          <w:color w:val="000000" w:themeColor="text1"/>
          <w:sz w:val="24"/>
          <w:szCs w:val="24"/>
          <w:lang w:val="en-GB"/>
        </w:rPr>
        <w:t xml:space="preserve">ould </w:t>
      </w:r>
      <w:r w:rsidR="00CA2CFE" w:rsidRPr="007C17A6">
        <w:rPr>
          <w:rFonts w:ascii="Times New Roman" w:hAnsi="Times New Roman" w:cs="Times New Roman"/>
          <w:color w:val="000000" w:themeColor="text1"/>
          <w:sz w:val="24"/>
          <w:szCs w:val="24"/>
          <w:lang w:val="en-GB"/>
        </w:rPr>
        <w:t xml:space="preserve">extend the present work by investigating </w:t>
      </w:r>
      <w:r w:rsidR="0001709C" w:rsidRPr="007C17A6">
        <w:rPr>
          <w:rFonts w:ascii="Times New Roman" w:hAnsi="Times New Roman" w:cs="Times New Roman"/>
          <w:color w:val="000000" w:themeColor="text1"/>
          <w:sz w:val="24"/>
          <w:szCs w:val="24"/>
          <w:lang w:val="en-GB"/>
        </w:rPr>
        <w:t xml:space="preserve">how </w:t>
      </w:r>
      <w:r w:rsidR="00CA2CFE" w:rsidRPr="007C17A6">
        <w:rPr>
          <w:rFonts w:ascii="Times New Roman" w:hAnsi="Times New Roman" w:cs="Times New Roman"/>
          <w:color w:val="000000" w:themeColor="text1"/>
          <w:sz w:val="24"/>
          <w:szCs w:val="24"/>
          <w:lang w:val="en-GB"/>
        </w:rPr>
        <w:t>combinatorial grammatical</w:t>
      </w:r>
      <w:r w:rsidR="0001709C" w:rsidRPr="007C17A6">
        <w:rPr>
          <w:rFonts w:ascii="Times New Roman" w:hAnsi="Times New Roman" w:cs="Times New Roman"/>
          <w:color w:val="000000" w:themeColor="text1"/>
          <w:sz w:val="24"/>
          <w:szCs w:val="24"/>
          <w:lang w:val="en-GB"/>
        </w:rPr>
        <w:t xml:space="preserve"> binding between pre-learnt</w:t>
      </w:r>
      <w:r w:rsidR="0083572A" w:rsidRPr="007C17A6">
        <w:rPr>
          <w:rFonts w:ascii="Times New Roman" w:hAnsi="Times New Roman" w:cs="Times New Roman"/>
          <w:color w:val="000000" w:themeColor="text1"/>
          <w:sz w:val="24"/>
          <w:szCs w:val="24"/>
          <w:lang w:val="en-GB"/>
        </w:rPr>
        <w:t xml:space="preserve"> </w:t>
      </w:r>
      <w:r w:rsidR="00CA2CFE" w:rsidRPr="007C17A6">
        <w:rPr>
          <w:rFonts w:ascii="Times New Roman" w:hAnsi="Times New Roman" w:cs="Times New Roman"/>
          <w:color w:val="000000" w:themeColor="text1"/>
          <w:sz w:val="24"/>
          <w:szCs w:val="24"/>
          <w:lang w:val="en-GB"/>
        </w:rPr>
        <w:t xml:space="preserve">and whole-form-stored </w:t>
      </w:r>
      <w:r w:rsidR="0083572A" w:rsidRPr="007C17A6">
        <w:rPr>
          <w:rFonts w:ascii="Times New Roman" w:hAnsi="Times New Roman" w:cs="Times New Roman"/>
          <w:color w:val="000000" w:themeColor="text1"/>
          <w:sz w:val="24"/>
          <w:szCs w:val="24"/>
          <w:lang w:val="en-GB"/>
        </w:rPr>
        <w:t>lexical</w:t>
      </w:r>
      <w:r w:rsidR="0001709C" w:rsidRPr="007C17A6">
        <w:rPr>
          <w:rFonts w:ascii="Times New Roman" w:hAnsi="Times New Roman" w:cs="Times New Roman"/>
          <w:color w:val="000000" w:themeColor="text1"/>
          <w:sz w:val="24"/>
          <w:szCs w:val="24"/>
          <w:lang w:val="en-GB"/>
        </w:rPr>
        <w:t xml:space="preserve"> </w:t>
      </w:r>
      <w:r w:rsidR="00CA2CFE" w:rsidRPr="007C17A6">
        <w:rPr>
          <w:rFonts w:ascii="Times New Roman" w:hAnsi="Times New Roman" w:cs="Times New Roman"/>
          <w:color w:val="000000" w:themeColor="text1"/>
          <w:sz w:val="24"/>
          <w:szCs w:val="24"/>
          <w:lang w:val="en-GB"/>
        </w:rPr>
        <w:t>units</w:t>
      </w:r>
      <w:r w:rsidR="001E725D" w:rsidRPr="007C17A6">
        <w:rPr>
          <w:rFonts w:ascii="Times New Roman" w:hAnsi="Times New Roman" w:cs="Times New Roman"/>
          <w:color w:val="000000" w:themeColor="text1"/>
          <w:sz w:val="24"/>
          <w:szCs w:val="24"/>
          <w:lang w:val="en-GB"/>
        </w:rPr>
        <w:t xml:space="preserve"> </w:t>
      </w:r>
      <w:r w:rsidR="0001709C" w:rsidRPr="007C17A6">
        <w:rPr>
          <w:rFonts w:ascii="Times New Roman" w:hAnsi="Times New Roman" w:cs="Times New Roman"/>
          <w:color w:val="000000" w:themeColor="text1"/>
          <w:sz w:val="24"/>
          <w:szCs w:val="24"/>
          <w:lang w:val="en-GB"/>
        </w:rPr>
        <w:t>emerge</w:t>
      </w:r>
      <w:r w:rsidR="00626627" w:rsidRPr="007C17A6">
        <w:rPr>
          <w:rFonts w:ascii="Times New Roman" w:hAnsi="Times New Roman" w:cs="Times New Roman"/>
          <w:color w:val="000000" w:themeColor="text1"/>
          <w:sz w:val="24"/>
          <w:szCs w:val="24"/>
          <w:lang w:val="en-GB"/>
        </w:rPr>
        <w:t>s</w:t>
      </w:r>
      <w:r w:rsidR="0001709C" w:rsidRPr="007C17A6">
        <w:rPr>
          <w:rFonts w:ascii="Times New Roman" w:hAnsi="Times New Roman" w:cs="Times New Roman"/>
          <w:color w:val="000000" w:themeColor="text1"/>
          <w:sz w:val="24"/>
          <w:szCs w:val="24"/>
          <w:lang w:val="en-GB"/>
        </w:rPr>
        <w:t xml:space="preserve"> </w:t>
      </w:r>
      <w:r w:rsidR="00626627" w:rsidRPr="007C17A6">
        <w:rPr>
          <w:rFonts w:ascii="Times New Roman" w:hAnsi="Times New Roman" w:cs="Times New Roman"/>
          <w:color w:val="000000" w:themeColor="text1"/>
          <w:sz w:val="24"/>
          <w:szCs w:val="24"/>
          <w:lang w:val="en-GB"/>
        </w:rPr>
        <w:t>from</w:t>
      </w:r>
      <w:r w:rsidR="0001709C" w:rsidRPr="007C17A6">
        <w:rPr>
          <w:rFonts w:ascii="Times New Roman" w:hAnsi="Times New Roman" w:cs="Times New Roman"/>
          <w:color w:val="000000" w:themeColor="text1"/>
          <w:sz w:val="24"/>
          <w:szCs w:val="24"/>
          <w:lang w:val="en-GB"/>
        </w:rPr>
        <w:t xml:space="preserve"> </w:t>
      </w:r>
      <w:r w:rsidR="00B947C6" w:rsidRPr="007C17A6">
        <w:rPr>
          <w:rFonts w:ascii="Times New Roman" w:hAnsi="Times New Roman" w:cs="Times New Roman"/>
          <w:color w:val="000000" w:themeColor="text1"/>
          <w:sz w:val="24"/>
          <w:szCs w:val="24"/>
          <w:lang w:val="en-GB"/>
        </w:rPr>
        <w:t>c</w:t>
      </w:r>
      <w:r w:rsidR="0001709C" w:rsidRPr="007C17A6">
        <w:rPr>
          <w:rFonts w:ascii="Times New Roman" w:hAnsi="Times New Roman" w:cs="Times New Roman"/>
          <w:color w:val="000000" w:themeColor="text1"/>
          <w:sz w:val="24"/>
          <w:szCs w:val="24"/>
          <w:lang w:val="en-GB"/>
        </w:rPr>
        <w:t>orrelat</w:t>
      </w:r>
      <w:r w:rsidR="00626627" w:rsidRPr="007C17A6">
        <w:rPr>
          <w:rFonts w:ascii="Times New Roman" w:hAnsi="Times New Roman" w:cs="Times New Roman"/>
          <w:color w:val="000000" w:themeColor="text1"/>
          <w:sz w:val="24"/>
          <w:szCs w:val="24"/>
          <w:lang w:val="en-GB"/>
        </w:rPr>
        <w:t>ed</w:t>
      </w:r>
      <w:r w:rsidR="0001709C" w:rsidRPr="007C17A6">
        <w:rPr>
          <w:rFonts w:ascii="Times New Roman" w:hAnsi="Times New Roman" w:cs="Times New Roman"/>
          <w:color w:val="000000" w:themeColor="text1"/>
          <w:sz w:val="24"/>
          <w:szCs w:val="24"/>
          <w:lang w:val="en-GB"/>
        </w:rPr>
        <w:t xml:space="preserve"> activity </w:t>
      </w:r>
      <w:r w:rsidR="00626627" w:rsidRPr="007C17A6">
        <w:rPr>
          <w:rFonts w:ascii="Times New Roman" w:hAnsi="Times New Roman" w:cs="Times New Roman"/>
          <w:color w:val="000000" w:themeColor="text1"/>
          <w:sz w:val="24"/>
          <w:szCs w:val="24"/>
          <w:lang w:val="en-GB"/>
        </w:rPr>
        <w:t>in</w:t>
      </w:r>
      <w:r w:rsidR="0001709C" w:rsidRPr="007C17A6">
        <w:rPr>
          <w:rFonts w:ascii="Times New Roman" w:hAnsi="Times New Roman" w:cs="Times New Roman"/>
          <w:color w:val="000000" w:themeColor="text1"/>
          <w:sz w:val="24"/>
          <w:szCs w:val="24"/>
          <w:lang w:val="en-GB"/>
        </w:rPr>
        <w:t xml:space="preserve"> co-activated </w:t>
      </w:r>
      <w:r w:rsidR="00626627" w:rsidRPr="007C17A6">
        <w:rPr>
          <w:rFonts w:ascii="Times New Roman" w:hAnsi="Times New Roman" w:cs="Times New Roman"/>
          <w:color w:val="000000" w:themeColor="text1"/>
          <w:sz w:val="24"/>
          <w:szCs w:val="24"/>
          <w:lang w:val="en-GB"/>
        </w:rPr>
        <w:t>neuronal</w:t>
      </w:r>
      <w:r w:rsidR="00A81FE9" w:rsidRPr="007C17A6">
        <w:rPr>
          <w:rFonts w:ascii="Times New Roman" w:hAnsi="Times New Roman" w:cs="Times New Roman"/>
          <w:color w:val="000000" w:themeColor="text1"/>
          <w:sz w:val="24"/>
          <w:szCs w:val="24"/>
          <w:lang w:val="en-GB"/>
        </w:rPr>
        <w:t xml:space="preserve"> </w:t>
      </w:r>
      <w:r w:rsidR="0001709C" w:rsidRPr="007C17A6">
        <w:rPr>
          <w:rFonts w:ascii="Times New Roman" w:hAnsi="Times New Roman" w:cs="Times New Roman"/>
          <w:color w:val="000000" w:themeColor="text1"/>
          <w:sz w:val="24"/>
          <w:szCs w:val="24"/>
          <w:lang w:val="en-GB"/>
        </w:rPr>
        <w:t>circuits</w:t>
      </w:r>
      <w:r w:rsidR="0083572A" w:rsidRPr="007C17A6">
        <w:rPr>
          <w:rFonts w:ascii="Times New Roman" w:hAnsi="Times New Roman" w:cs="Times New Roman"/>
          <w:color w:val="000000" w:themeColor="text1"/>
          <w:sz w:val="24"/>
          <w:szCs w:val="24"/>
          <w:lang w:val="en-GB"/>
        </w:rPr>
        <w:t xml:space="preserve"> (</w:t>
      </w:r>
      <w:r w:rsidR="00626627" w:rsidRPr="007C17A6">
        <w:rPr>
          <w:rFonts w:ascii="Times New Roman" w:hAnsi="Times New Roman" w:cs="Times New Roman"/>
          <w:color w:val="000000" w:themeColor="text1"/>
          <w:sz w:val="24"/>
          <w:szCs w:val="24"/>
          <w:lang w:val="en-GB"/>
        </w:rPr>
        <w:t>see</w:t>
      </w:r>
      <w:r w:rsidR="0083572A" w:rsidRPr="007C17A6">
        <w:rPr>
          <w:rFonts w:ascii="Times New Roman" w:hAnsi="Times New Roman" w:cs="Times New Roman"/>
          <w:color w:val="000000" w:themeColor="text1"/>
          <w:sz w:val="24"/>
          <w:szCs w:val="24"/>
          <w:lang w:val="en-GB"/>
        </w:rPr>
        <w:t xml:space="preserve"> </w:t>
      </w:r>
      <w:r w:rsidR="0083572A" w:rsidRPr="007C17A6">
        <w:rPr>
          <w:rFonts w:ascii="Times New Roman" w:hAnsi="Times New Roman" w:cs="Times New Roman"/>
          <w:color w:val="000000" w:themeColor="text1"/>
          <w:sz w:val="24"/>
          <w:szCs w:val="24"/>
          <w:lang w:val="en-GB"/>
        </w:rPr>
        <w:fldChar w:fldCharType="begin" w:fldLock="1"/>
      </w:r>
      <w:r w:rsidR="007F4106" w:rsidRPr="007C17A6">
        <w:rPr>
          <w:rFonts w:ascii="Times New Roman" w:hAnsi="Times New Roman" w:cs="Times New Roman"/>
          <w:color w:val="000000" w:themeColor="text1"/>
          <w:sz w:val="24"/>
          <w:szCs w:val="24"/>
          <w:lang w:val="en-GB"/>
        </w:rPr>
        <w:instrText>ADDIN CSL_CITATION { "citationItems" : [ { "id" : "ITEM-1", "itemData" : { "DOI" : "10.1016/j.bandl.2009.08.002", "ISBN" : "1090-2155 (Electronic)\\n0093-934X (Linking)", "ISSN" : "0093934X", "PMID" : "20132977", "abstract" : "Neuroscience has greatly improved our understanding of the brain basis of abstract lexical and semantic processes. The neuronal devices underlying words and concepts are distributed neuronal assemblies reaching into sensory and motor systems of the cortex and, at the cognitive level, information binding in such widely dispersed circuits is mirrored by the sensorimotor grounding of form and meaning of symbols. Recent years have seen the emergence of evidence for similar brain embodiment of syntax. Neurophysiological studies have accumulated support for the linguistic notion of abstract combinatorial rules manifest as functionally discrete neuronal assemblies. Concepts immanent to the theory of abstract automata could be grounded in observations from modern neuroscience, so that it became possible to model abstract pushdown storage - which is critical for building linguistic tree structure representations - as ordered dynamics of memory circuits in the brain. At the same time, neurocomputational research showed how sequence detectors already known from animal brains can be neuronally linked so that they merge into larger functionally discrete units, thereby underpinning abstract rule representations that syntactically bind lexicosemantic classes of morphemes and words into larger meaningful constituents. Specific predictions of brain-based grammar models could be confirmed by neurophysiological and brain imaging experiments using MEG, EEG and fMRI. Neuroscience and neurocomputational research offering perspectives on understanding abstract linguistic mechanisms in terms of neuronal circuits and their interactions therefore point programmatic new ways to future theory-guided experimental investigation of the brain basis of grammar. \u00a9 2009 Elsevier Inc. All rights reserved.", "author" : [ { "dropping-particle" : "", "family" : "Pulverm\u00fcller", "given" : "Friedemann", "non-dropping-particle" : "", "parse-names" : false, "suffix" : "" } ], "container-title" : "Brain and Language", "id" : "ITEM-1", "issue" : "3", "issued" : { "date-parts" : [ [ "2010", "3" ] ] }, "page" : "167-179", "publisher" : "Elsevier Inc.", "title" : "Brain embodiment of syntax and grammar: Discrete combinatorial mechanisms spelt out in neuronal circuits", "type" : "article-journal", "volume" : "112" }, "uris" : [ "http://www.mendeley.com/documents/?uuid=82144132-722f-4b2d-97c0-6cf54fbb7c49" ] } ], "mendeley" : { "formattedCitation" : "(Pulverm\u00fcller, 2010)", "manualFormatting" : "Pulverm\u00fcller, 2010)", "plainTextFormattedCitation" : "(Pulverm\u00fcller, 2010)", "previouslyFormattedCitation" : "(Pulverm\u00fcller, 2010)" }, "properties" : {  }, "schema" : "https://github.com/citation-style-language/schema/raw/master/csl-citation.json" }</w:instrText>
      </w:r>
      <w:r w:rsidR="0083572A" w:rsidRPr="007C17A6">
        <w:rPr>
          <w:rFonts w:ascii="Times New Roman" w:hAnsi="Times New Roman" w:cs="Times New Roman"/>
          <w:color w:val="000000" w:themeColor="text1"/>
          <w:sz w:val="24"/>
          <w:szCs w:val="24"/>
          <w:lang w:val="en-GB"/>
        </w:rPr>
        <w:fldChar w:fldCharType="separate"/>
      </w:r>
      <w:r w:rsidR="0083572A" w:rsidRPr="007C17A6">
        <w:rPr>
          <w:rFonts w:ascii="Times New Roman" w:hAnsi="Times New Roman" w:cs="Times New Roman"/>
          <w:noProof/>
          <w:color w:val="000000" w:themeColor="text1"/>
          <w:sz w:val="24"/>
          <w:szCs w:val="24"/>
          <w:lang w:val="en-GB"/>
        </w:rPr>
        <w:t>Pulvermüller, 2010)</w:t>
      </w:r>
      <w:r w:rsidR="0083572A" w:rsidRPr="007C17A6">
        <w:rPr>
          <w:rFonts w:ascii="Times New Roman" w:hAnsi="Times New Roman" w:cs="Times New Roman"/>
          <w:color w:val="000000" w:themeColor="text1"/>
          <w:sz w:val="24"/>
          <w:szCs w:val="24"/>
          <w:lang w:val="en-GB"/>
        </w:rPr>
        <w:fldChar w:fldCharType="end"/>
      </w:r>
      <w:r w:rsidR="0083572A" w:rsidRPr="007C17A6">
        <w:rPr>
          <w:rFonts w:ascii="Times New Roman" w:hAnsi="Times New Roman" w:cs="Times New Roman"/>
          <w:color w:val="000000" w:themeColor="text1"/>
          <w:sz w:val="24"/>
          <w:szCs w:val="24"/>
          <w:lang w:val="en-GB"/>
        </w:rPr>
        <w:t>.</w:t>
      </w:r>
      <w:r w:rsidR="00B947C6" w:rsidRPr="007C17A6">
        <w:rPr>
          <w:rFonts w:ascii="Times New Roman" w:hAnsi="Times New Roman" w:cs="Times New Roman"/>
          <w:color w:val="000000" w:themeColor="text1"/>
          <w:sz w:val="24"/>
          <w:szCs w:val="24"/>
          <w:lang w:val="en-GB"/>
        </w:rPr>
        <w:t xml:space="preserve"> </w:t>
      </w:r>
    </w:p>
    <w:p w14:paraId="256E0F0E" w14:textId="77777777" w:rsidR="00BC4956" w:rsidRPr="007C17A6" w:rsidRDefault="00BC4956" w:rsidP="00BC4956">
      <w:pPr>
        <w:spacing w:before="120" w:after="120" w:line="240" w:lineRule="auto"/>
        <w:contextualSpacing/>
        <w:jc w:val="both"/>
        <w:rPr>
          <w:rFonts w:ascii="Times New Roman" w:hAnsi="Times New Roman" w:cs="Times New Roman"/>
          <w:color w:val="000000" w:themeColor="text1"/>
          <w:sz w:val="24"/>
          <w:szCs w:val="24"/>
          <w:lang w:val="en-GB"/>
        </w:rPr>
      </w:pPr>
    </w:p>
    <w:p w14:paraId="18077CE7" w14:textId="70468753" w:rsidR="00A838DC" w:rsidRPr="007C17A6" w:rsidRDefault="00E5421A" w:rsidP="00BC4956">
      <w:pPr>
        <w:spacing w:before="120" w:after="120" w:line="240" w:lineRule="auto"/>
        <w:contextualSpacing/>
        <w:jc w:val="both"/>
        <w:rPr>
          <w:rFonts w:ascii="Times New Roman" w:hAnsi="Times New Roman" w:cs="Times New Roman"/>
          <w:color w:val="000000" w:themeColor="text1"/>
          <w:sz w:val="24"/>
          <w:szCs w:val="24"/>
          <w:lang w:val="en-GB"/>
        </w:rPr>
      </w:pPr>
      <w:bookmarkStart w:id="200" w:name="OLE_LINK16"/>
      <w:bookmarkStart w:id="201" w:name="OLE_LINK17"/>
      <w:bookmarkStart w:id="202" w:name="OLE_LINK22"/>
      <w:r w:rsidRPr="007C17A6">
        <w:rPr>
          <w:rFonts w:ascii="Times New Roman" w:hAnsi="Times New Roman" w:cs="Times New Roman"/>
          <w:color w:val="000000" w:themeColor="text1"/>
          <w:sz w:val="24"/>
          <w:szCs w:val="24"/>
          <w:lang w:val="en-GB"/>
        </w:rPr>
        <w:t xml:space="preserve">Still, already in its </w:t>
      </w:r>
      <w:r w:rsidR="00626627" w:rsidRPr="007C17A6">
        <w:rPr>
          <w:rFonts w:ascii="Times New Roman" w:hAnsi="Times New Roman" w:cs="Times New Roman"/>
          <w:color w:val="000000" w:themeColor="text1"/>
          <w:sz w:val="24"/>
          <w:szCs w:val="24"/>
          <w:lang w:val="en-GB"/>
        </w:rPr>
        <w:t>current</w:t>
      </w:r>
      <w:r w:rsidRPr="007C17A6">
        <w:rPr>
          <w:rFonts w:ascii="Times New Roman" w:hAnsi="Times New Roman" w:cs="Times New Roman"/>
          <w:color w:val="000000" w:themeColor="text1"/>
          <w:sz w:val="24"/>
          <w:szCs w:val="24"/>
          <w:lang w:val="en-GB"/>
        </w:rPr>
        <w:t xml:space="preserve"> form, the present computational model makes critical predictions (</w:t>
      </w:r>
      <w:r w:rsidR="00626627" w:rsidRPr="007C17A6">
        <w:rPr>
          <w:rFonts w:ascii="Times New Roman" w:hAnsi="Times New Roman" w:cs="Times New Roman"/>
          <w:color w:val="000000" w:themeColor="text1"/>
          <w:sz w:val="24"/>
          <w:szCs w:val="24"/>
          <w:lang w:val="en-GB"/>
        </w:rPr>
        <w:t xml:space="preserve">some of which we spelled out in detail in discussion </w:t>
      </w:r>
      <w:r w:rsidRPr="007C17A6">
        <w:rPr>
          <w:rFonts w:ascii="Times New Roman" w:hAnsi="Times New Roman" w:cs="Times New Roman"/>
          <w:color w:val="000000" w:themeColor="text1"/>
          <w:sz w:val="24"/>
          <w:szCs w:val="24"/>
          <w:lang w:val="en-GB"/>
        </w:rPr>
        <w:t xml:space="preserve">above) about how meaning is acquired, processed and stored in the human brain. </w:t>
      </w:r>
      <w:r w:rsidR="00626627" w:rsidRPr="007C17A6">
        <w:rPr>
          <w:rFonts w:ascii="Times New Roman" w:hAnsi="Times New Roman" w:cs="Times New Roman"/>
          <w:color w:val="000000" w:themeColor="text1"/>
          <w:sz w:val="24"/>
          <w:szCs w:val="24"/>
          <w:lang w:val="en-GB"/>
        </w:rPr>
        <w:t>Compared with earlier similar work, the</w:t>
      </w:r>
      <w:r w:rsidRPr="007C17A6">
        <w:rPr>
          <w:rFonts w:ascii="Times New Roman" w:hAnsi="Times New Roman" w:cs="Times New Roman"/>
          <w:color w:val="000000" w:themeColor="text1"/>
          <w:sz w:val="24"/>
          <w:szCs w:val="24"/>
          <w:lang w:val="en-GB"/>
        </w:rPr>
        <w:t xml:space="preserve"> spiking-and-jumping neural network </w:t>
      </w:r>
      <w:r w:rsidR="00626627" w:rsidRPr="007C17A6">
        <w:rPr>
          <w:rFonts w:ascii="Times New Roman" w:hAnsi="Times New Roman" w:cs="Times New Roman"/>
          <w:color w:val="000000" w:themeColor="text1"/>
          <w:sz w:val="24"/>
          <w:szCs w:val="24"/>
          <w:lang w:val="en-GB"/>
        </w:rPr>
        <w:t xml:space="preserve">developed in this work </w:t>
      </w:r>
      <w:r w:rsidRPr="007C17A6">
        <w:rPr>
          <w:rFonts w:ascii="Times New Roman" w:hAnsi="Times New Roman" w:cs="Times New Roman"/>
          <w:noProof/>
          <w:color w:val="000000" w:themeColor="text1"/>
          <w:sz w:val="24"/>
          <w:szCs w:val="24"/>
          <w:lang w:val="en-GB"/>
        </w:rPr>
        <w:t>is based</w:t>
      </w:r>
      <w:r w:rsidRPr="007C17A6">
        <w:rPr>
          <w:rFonts w:ascii="Times New Roman" w:hAnsi="Times New Roman" w:cs="Times New Roman"/>
          <w:color w:val="000000" w:themeColor="text1"/>
          <w:sz w:val="24"/>
          <w:szCs w:val="24"/>
          <w:lang w:val="en-GB"/>
        </w:rPr>
        <w:t xml:space="preserve"> on </w:t>
      </w:r>
      <w:r w:rsidR="00626627" w:rsidRPr="007C17A6">
        <w:rPr>
          <w:rFonts w:ascii="Times New Roman" w:hAnsi="Times New Roman" w:cs="Times New Roman"/>
          <w:color w:val="000000" w:themeColor="text1"/>
          <w:sz w:val="24"/>
          <w:szCs w:val="24"/>
          <w:lang w:val="en-GB"/>
        </w:rPr>
        <w:t xml:space="preserve">a wider range of </w:t>
      </w:r>
      <w:r w:rsidRPr="007C17A6">
        <w:rPr>
          <w:rFonts w:ascii="Times New Roman" w:hAnsi="Times New Roman" w:cs="Times New Roman"/>
          <w:color w:val="000000" w:themeColor="text1"/>
          <w:sz w:val="24"/>
          <w:szCs w:val="24"/>
          <w:lang w:val="en-GB"/>
        </w:rPr>
        <w:t xml:space="preserve">biological principles </w:t>
      </w:r>
      <w:r w:rsidR="00626627" w:rsidRPr="007C17A6">
        <w:rPr>
          <w:rFonts w:ascii="Times New Roman" w:hAnsi="Times New Roman" w:cs="Times New Roman"/>
          <w:color w:val="000000" w:themeColor="text1"/>
          <w:sz w:val="24"/>
          <w:szCs w:val="24"/>
          <w:lang w:val="en-GB"/>
        </w:rPr>
        <w:t xml:space="preserve">and </w:t>
      </w:r>
      <w:r w:rsidR="00A6076F" w:rsidRPr="007C17A6">
        <w:rPr>
          <w:rFonts w:ascii="Times New Roman" w:hAnsi="Times New Roman" w:cs="Times New Roman"/>
          <w:color w:val="000000" w:themeColor="text1"/>
          <w:sz w:val="24"/>
          <w:szCs w:val="24"/>
          <w:lang w:val="en-GB"/>
        </w:rPr>
        <w:t>features of the human brain, such as</w:t>
      </w:r>
      <w:r w:rsidR="000A22B8" w:rsidRPr="007C17A6">
        <w:rPr>
          <w:rFonts w:ascii="Times New Roman" w:hAnsi="Times New Roman" w:cs="Times New Roman"/>
          <w:color w:val="000000" w:themeColor="text1"/>
          <w:sz w:val="24"/>
          <w:szCs w:val="24"/>
          <w:lang w:val="en-GB"/>
        </w:rPr>
        <w:t xml:space="preserve"> </w:t>
      </w:r>
      <w:r w:rsidR="00A6076F" w:rsidRPr="007C17A6">
        <w:rPr>
          <w:rFonts w:ascii="Times New Roman" w:hAnsi="Times New Roman" w:cs="Times New Roman"/>
          <w:color w:val="000000"/>
          <w:sz w:val="24"/>
          <w:szCs w:val="24"/>
          <w:lang w:val="en-GB"/>
        </w:rPr>
        <w:t>n</w:t>
      </w:r>
      <w:r w:rsidR="000A22B8" w:rsidRPr="007C17A6">
        <w:rPr>
          <w:rFonts w:ascii="Times New Roman" w:hAnsi="Times New Roman" w:cs="Times New Roman"/>
          <w:color w:val="000000"/>
          <w:sz w:val="24"/>
          <w:szCs w:val="24"/>
          <w:lang w:val="en-GB"/>
        </w:rPr>
        <w:t xml:space="preserve">europhysiological dynamics of spiking pyramidal cells, </w:t>
      </w:r>
      <w:r w:rsidR="00A6076F" w:rsidRPr="007C17A6">
        <w:rPr>
          <w:rFonts w:ascii="Times New Roman" w:hAnsi="Times New Roman" w:cs="Times New Roman"/>
          <w:color w:val="000000"/>
          <w:sz w:val="24"/>
          <w:szCs w:val="24"/>
          <w:lang w:val="en-GB"/>
        </w:rPr>
        <w:t>s</w:t>
      </w:r>
      <w:r w:rsidR="000A22B8" w:rsidRPr="007C17A6">
        <w:rPr>
          <w:rFonts w:ascii="Times New Roman" w:hAnsi="Times New Roman" w:cs="Times New Roman"/>
          <w:color w:val="000000"/>
          <w:sz w:val="24"/>
          <w:szCs w:val="24"/>
          <w:lang w:val="en-GB"/>
        </w:rPr>
        <w:t xml:space="preserve">ynaptic modification by way of Hebbian learning, </w:t>
      </w:r>
      <w:r w:rsidR="00A6076F" w:rsidRPr="007C17A6">
        <w:rPr>
          <w:rFonts w:ascii="Times New Roman" w:hAnsi="Times New Roman" w:cs="Times New Roman"/>
          <w:color w:val="000000"/>
          <w:sz w:val="24"/>
          <w:szCs w:val="24"/>
          <w:lang w:val="en-GB"/>
        </w:rPr>
        <w:t>l</w:t>
      </w:r>
      <w:r w:rsidR="000A22B8" w:rsidRPr="007C17A6">
        <w:rPr>
          <w:rFonts w:ascii="Times New Roman" w:hAnsi="Times New Roman" w:cs="Times New Roman"/>
          <w:color w:val="000000"/>
          <w:sz w:val="24"/>
          <w:szCs w:val="24"/>
          <w:lang w:val="en-GB"/>
        </w:rPr>
        <w:t>ocal lateral inhibition and area-specific global regulation mechanisms,</w:t>
      </w:r>
      <w:r w:rsidR="00A6076F" w:rsidRPr="007C17A6">
        <w:rPr>
          <w:rFonts w:ascii="Times New Roman" w:hAnsi="Times New Roman" w:cs="Times New Roman"/>
          <w:color w:val="000000"/>
          <w:sz w:val="24"/>
          <w:szCs w:val="24"/>
          <w:lang w:val="en-GB"/>
        </w:rPr>
        <w:t xml:space="preserve"> </w:t>
      </w:r>
      <w:r w:rsidR="00A6076F" w:rsidRPr="007C17A6">
        <w:rPr>
          <w:rFonts w:ascii="Times New Roman" w:hAnsi="Times New Roman" w:cs="Times New Roman"/>
          <w:noProof/>
          <w:sz w:val="24"/>
          <w:szCs w:val="24"/>
          <w:lang w:val="en-GB"/>
        </w:rPr>
        <w:t>uncorrelated</w:t>
      </w:r>
      <w:r w:rsidR="00A6076F" w:rsidRPr="007C17A6">
        <w:rPr>
          <w:rFonts w:ascii="Times New Roman" w:hAnsi="Times New Roman" w:cs="Times New Roman"/>
          <w:sz w:val="24"/>
          <w:szCs w:val="24"/>
          <w:lang w:val="en-GB"/>
        </w:rPr>
        <w:t xml:space="preserve"> white noise present in all neurons during learning</w:t>
      </w:r>
      <w:r w:rsidR="00A6076F" w:rsidRPr="007C17A6">
        <w:rPr>
          <w:rFonts w:ascii="Times New Roman" w:hAnsi="Times New Roman" w:cs="Times New Roman"/>
          <w:color w:val="000000"/>
          <w:sz w:val="24"/>
          <w:szCs w:val="24"/>
          <w:lang w:val="en-GB"/>
        </w:rPr>
        <w:t xml:space="preserve">, brain-like connectivity </w:t>
      </w:r>
      <w:r w:rsidR="00D87A0A" w:rsidRPr="007C17A6">
        <w:rPr>
          <w:rFonts w:ascii="Times New Roman" w:hAnsi="Times New Roman" w:cs="Times New Roman"/>
          <w:color w:val="000000"/>
          <w:sz w:val="24"/>
          <w:szCs w:val="24"/>
          <w:lang w:val="en-GB"/>
        </w:rPr>
        <w:t xml:space="preserve">structure </w:t>
      </w:r>
      <w:r w:rsidR="00A6076F" w:rsidRPr="007C17A6">
        <w:rPr>
          <w:rFonts w:ascii="Times New Roman" w:hAnsi="Times New Roman" w:cs="Times New Roman"/>
          <w:color w:val="000000"/>
          <w:sz w:val="24"/>
          <w:szCs w:val="24"/>
          <w:lang w:val="en-GB"/>
        </w:rPr>
        <w:t>based on neuroanatomical evidence.</w:t>
      </w:r>
      <w:r w:rsidR="00A6076F" w:rsidRPr="007C17A6">
        <w:rPr>
          <w:rFonts w:cs="Times New Roman"/>
          <w:color w:val="000000"/>
          <w:sz w:val="24"/>
          <w:szCs w:val="24"/>
          <w:lang w:val="en-GB"/>
        </w:rPr>
        <w:t xml:space="preserve"> </w:t>
      </w:r>
      <w:r w:rsidR="00A6076F" w:rsidRPr="007C17A6">
        <w:rPr>
          <w:rFonts w:ascii="Times New Roman" w:hAnsi="Times New Roman" w:cs="Times New Roman"/>
          <w:color w:val="000000" w:themeColor="text1"/>
          <w:sz w:val="24"/>
          <w:szCs w:val="24"/>
          <w:lang w:val="en-GB"/>
        </w:rPr>
        <w:t>T</w:t>
      </w:r>
      <w:r w:rsidRPr="007C17A6">
        <w:rPr>
          <w:rFonts w:ascii="Times New Roman" w:hAnsi="Times New Roman" w:cs="Times New Roman"/>
          <w:color w:val="000000" w:themeColor="text1"/>
          <w:sz w:val="24"/>
          <w:szCs w:val="24"/>
          <w:lang w:val="en-GB"/>
        </w:rPr>
        <w:t>herefore</w:t>
      </w:r>
      <w:r w:rsidR="00626627" w:rsidRPr="007C17A6">
        <w:rPr>
          <w:rFonts w:ascii="Times New Roman" w:hAnsi="Times New Roman" w:cs="Times New Roman"/>
          <w:color w:val="000000" w:themeColor="text1"/>
          <w:sz w:val="24"/>
          <w:szCs w:val="24"/>
          <w:lang w:val="en-GB"/>
        </w:rPr>
        <w:t>,</w:t>
      </w:r>
      <w:r w:rsidRPr="007C17A6">
        <w:rPr>
          <w:rFonts w:ascii="Times New Roman" w:hAnsi="Times New Roman" w:cs="Times New Roman"/>
          <w:color w:val="000000" w:themeColor="text1"/>
          <w:sz w:val="24"/>
          <w:szCs w:val="24"/>
          <w:lang w:val="en-GB"/>
        </w:rPr>
        <w:t xml:space="preserve"> the present model provides a sophisticated mechanistic explanation of the differential involvement of semantic cortical </w:t>
      </w:r>
      <w:r w:rsidR="00A6076F" w:rsidRPr="007C17A6">
        <w:rPr>
          <w:rFonts w:ascii="Times New Roman" w:hAnsi="Times New Roman" w:cs="Times New Roman"/>
          <w:color w:val="000000" w:themeColor="text1"/>
          <w:sz w:val="24"/>
          <w:szCs w:val="24"/>
          <w:lang w:val="en-GB"/>
        </w:rPr>
        <w:t>regions</w:t>
      </w:r>
      <w:r w:rsidRPr="007C17A6">
        <w:rPr>
          <w:rFonts w:ascii="Times New Roman" w:hAnsi="Times New Roman" w:cs="Times New Roman"/>
          <w:color w:val="000000" w:themeColor="text1"/>
          <w:sz w:val="24"/>
          <w:szCs w:val="24"/>
          <w:lang w:val="en-GB"/>
        </w:rPr>
        <w:t xml:space="preserve">. </w:t>
      </w:r>
    </w:p>
    <w:bookmarkEnd w:id="200"/>
    <w:bookmarkEnd w:id="201"/>
    <w:bookmarkEnd w:id="202"/>
    <w:p w14:paraId="1CFA8751" w14:textId="77777777" w:rsidR="00B30D84" w:rsidRPr="007C17A6" w:rsidRDefault="00B30D84" w:rsidP="005C0429">
      <w:pPr>
        <w:spacing w:before="240" w:line="240" w:lineRule="auto"/>
        <w:contextualSpacing/>
        <w:jc w:val="both"/>
        <w:rPr>
          <w:rFonts w:ascii="Times New Roman" w:hAnsi="Times New Roman" w:cs="Times New Roman"/>
          <w:sz w:val="24"/>
          <w:szCs w:val="24"/>
        </w:rPr>
      </w:pPr>
    </w:p>
    <w:p w14:paraId="121B735B" w14:textId="77777777" w:rsidR="00E740D6" w:rsidRPr="007C17A6" w:rsidRDefault="00E5421A" w:rsidP="00E740D6">
      <w:pPr>
        <w:spacing w:before="120" w:after="120" w:line="240" w:lineRule="auto"/>
        <w:jc w:val="both"/>
        <w:rPr>
          <w:rFonts w:ascii="Times New Roman" w:hAnsi="Times New Roman" w:cs="Times New Roman"/>
          <w:b/>
          <w:color w:val="000000" w:themeColor="text1"/>
          <w:sz w:val="24"/>
          <w:szCs w:val="24"/>
          <w:lang w:val="en-GB" w:eastAsia="zh-CN"/>
        </w:rPr>
      </w:pPr>
      <w:r w:rsidRPr="007C17A6">
        <w:rPr>
          <w:rFonts w:ascii="Times New Roman" w:hAnsi="Times New Roman" w:cs="Times New Roman"/>
          <w:b/>
          <w:color w:val="000000" w:themeColor="text1"/>
          <w:sz w:val="24"/>
          <w:szCs w:val="24"/>
          <w:lang w:val="en-GB" w:eastAsia="zh-CN"/>
        </w:rPr>
        <w:t>Conclusion</w:t>
      </w:r>
    </w:p>
    <w:p w14:paraId="43D98C19" w14:textId="5657FE6F" w:rsidR="009E4897" w:rsidRPr="007C17A6" w:rsidRDefault="00B46929" w:rsidP="0077421C">
      <w:pPr>
        <w:spacing w:before="120" w:after="120" w:line="240" w:lineRule="auto"/>
        <w:contextualSpacing/>
        <w:jc w:val="both"/>
        <w:rPr>
          <w:rFonts w:ascii="Times New Roman" w:hAnsi="Times New Roman" w:cs="Times New Roman"/>
          <w:color w:val="000000" w:themeColor="text1"/>
          <w:sz w:val="24"/>
          <w:szCs w:val="24"/>
          <w:lang w:val="en-GB" w:eastAsia="zh-CN"/>
        </w:rPr>
      </w:pPr>
      <w:r w:rsidRPr="007C17A6">
        <w:rPr>
          <w:rFonts w:ascii="Times New Roman" w:hAnsi="Times New Roman" w:cs="Times New Roman"/>
          <w:color w:val="000000" w:themeColor="text1"/>
          <w:sz w:val="24"/>
          <w:szCs w:val="24"/>
          <w:lang w:val="en-GB"/>
        </w:rPr>
        <w:t xml:space="preserve">We </w:t>
      </w:r>
      <w:r w:rsidR="00E5421A" w:rsidRPr="007C17A6">
        <w:rPr>
          <w:rFonts w:ascii="Times New Roman" w:hAnsi="Times New Roman" w:cs="Times New Roman"/>
          <w:color w:val="000000" w:themeColor="text1"/>
          <w:sz w:val="24"/>
          <w:szCs w:val="24"/>
          <w:lang w:val="en-GB"/>
        </w:rPr>
        <w:t>use</w:t>
      </w:r>
      <w:r w:rsidR="001213BE" w:rsidRPr="007C17A6">
        <w:rPr>
          <w:rFonts w:ascii="Times New Roman" w:hAnsi="Times New Roman" w:cs="Times New Roman"/>
          <w:color w:val="000000" w:themeColor="text1"/>
          <w:sz w:val="24"/>
          <w:szCs w:val="24"/>
          <w:lang w:val="en-GB"/>
        </w:rPr>
        <w:t>d</w:t>
      </w:r>
      <w:r w:rsidR="00E5421A" w:rsidRPr="007C17A6">
        <w:rPr>
          <w:rFonts w:ascii="Times New Roman" w:hAnsi="Times New Roman" w:cs="Times New Roman"/>
          <w:color w:val="000000" w:themeColor="text1"/>
          <w:sz w:val="24"/>
          <w:szCs w:val="24"/>
          <w:lang w:val="en-GB"/>
        </w:rPr>
        <w:t xml:space="preserve"> a</w:t>
      </w:r>
      <w:r w:rsidR="001213BE" w:rsidRPr="007C17A6">
        <w:rPr>
          <w:rFonts w:ascii="Times New Roman" w:hAnsi="Times New Roman" w:cs="Times New Roman"/>
          <w:color w:val="000000" w:themeColor="text1"/>
          <w:sz w:val="24"/>
          <w:szCs w:val="24"/>
          <w:lang w:val="en-GB"/>
        </w:rPr>
        <w:t xml:space="preserve"> biologically constrained neurocomputational model mimicking cortical features and connectivity of frontal, temporal and occipital cort</w:t>
      </w:r>
      <w:r w:rsidR="00CA2CFE" w:rsidRPr="007C17A6">
        <w:rPr>
          <w:rFonts w:ascii="Times New Roman" w:hAnsi="Times New Roman" w:cs="Times New Roman"/>
          <w:color w:val="000000" w:themeColor="text1"/>
          <w:sz w:val="24"/>
          <w:szCs w:val="24"/>
          <w:lang w:val="en-GB"/>
        </w:rPr>
        <w:t>ices</w:t>
      </w:r>
      <w:r w:rsidR="001213BE" w:rsidRPr="007C17A6">
        <w:rPr>
          <w:rFonts w:ascii="Times New Roman" w:hAnsi="Times New Roman" w:cs="Times New Roman"/>
          <w:color w:val="000000" w:themeColor="text1"/>
          <w:sz w:val="24"/>
          <w:szCs w:val="24"/>
          <w:lang w:val="en-GB"/>
        </w:rPr>
        <w:t xml:space="preserve"> to simulate </w:t>
      </w:r>
      <w:r w:rsidR="00CA2CFE" w:rsidRPr="007C17A6">
        <w:rPr>
          <w:rFonts w:ascii="Times New Roman" w:hAnsi="Times New Roman" w:cs="Times New Roman"/>
          <w:color w:val="000000" w:themeColor="text1"/>
          <w:sz w:val="24"/>
          <w:szCs w:val="24"/>
          <w:lang w:val="en-GB"/>
        </w:rPr>
        <w:t>the brain</w:t>
      </w:r>
      <w:r w:rsidR="001213BE" w:rsidRPr="007C17A6">
        <w:rPr>
          <w:rFonts w:ascii="Times New Roman" w:hAnsi="Times New Roman" w:cs="Times New Roman"/>
          <w:color w:val="000000" w:themeColor="text1"/>
          <w:sz w:val="24"/>
          <w:szCs w:val="24"/>
          <w:lang w:val="en-GB"/>
        </w:rPr>
        <w:t xml:space="preserve"> mechanisms of word meaning acquisition</w:t>
      </w:r>
      <w:r w:rsidR="00E91AB3" w:rsidRPr="007C17A6">
        <w:rPr>
          <w:rFonts w:ascii="Times New Roman" w:hAnsi="Times New Roman" w:cs="Times New Roman"/>
          <w:color w:val="000000" w:themeColor="text1"/>
          <w:sz w:val="24"/>
          <w:szCs w:val="24"/>
          <w:lang w:val="en-GB"/>
        </w:rPr>
        <w:t xml:space="preserve">. </w:t>
      </w:r>
      <w:r w:rsidR="002C1FC5" w:rsidRPr="007C17A6">
        <w:rPr>
          <w:rFonts w:ascii="Times New Roman" w:hAnsi="Times New Roman" w:cs="Times New Roman"/>
          <w:noProof/>
          <w:color w:val="000000" w:themeColor="text1"/>
          <w:sz w:val="24"/>
          <w:szCs w:val="24"/>
          <w:lang w:val="en-GB"/>
        </w:rPr>
        <w:t>Extending</w:t>
      </w:r>
      <w:r w:rsidR="00916668" w:rsidRPr="007C17A6">
        <w:rPr>
          <w:rFonts w:ascii="Times New Roman" w:hAnsi="Times New Roman" w:cs="Times New Roman"/>
          <w:noProof/>
          <w:color w:val="000000" w:themeColor="text1"/>
          <w:sz w:val="24"/>
          <w:szCs w:val="24"/>
          <w:lang w:val="en-GB"/>
        </w:rPr>
        <w:t xml:space="preserve"> our earlier work </w:t>
      </w:r>
      <w:r w:rsidR="002C1FC5" w:rsidRPr="007C17A6">
        <w:rPr>
          <w:rFonts w:ascii="Times New Roman" w:hAnsi="Times New Roman" w:cs="Times New Roman"/>
          <w:noProof/>
        </w:rPr>
        <w:fldChar w:fldCharType="begin" w:fldLock="1"/>
      </w:r>
      <w:r w:rsidR="007F4106" w:rsidRPr="007C17A6">
        <w:rPr>
          <w:rFonts w:ascii="Times New Roman" w:hAnsi="Times New Roman" w:cs="Times New Roman"/>
          <w:noProof/>
        </w:rPr>
        <w:instrText>ADDIN CSL_CITATION { "citationItems" : [ { "id" : "ITEM-1", "itemData" : { "DOI" : "http://doi.org/10.1016/j.neuropsychologia.2016.07.004.", "ISSN" : "0028-3932", "abstract" : "Neuroimaging and patient studies show that different areas of cortex respectively specialize for general and selective, or category-specific, semantic processing. Why are there both semantic hubs and category-specificity, and how come that they emerge in different cortical regions? Can the activation time-course of these areas be predicted and explained by brain-like network models? In this present work, we extend a neurocomputational model of human cortical function to simulate the time-course of cortical processes of understanding meaningful concrete words. The model implements frontal and temporal cortical areas for language, perception, and action along with their connectivity. It uses Hebbian learning to semantically ground words in aspects of their referential object- and action-related meaning. Compared with earlier proposals, the present model incorporates additional neuroanatomical links supported by connectivity studies and downscaled synaptic weights in order to control for functional between-area differences purely due to the number of in- or output links of an area. We show that learning of semantic relationships between words and the objects and actions these symbols are used to speak about, leads to the formation of distributed circuits, which all include neuronal material in connector hub areas bridging between sensory and motor cortical systems. Therefore, these connector hub areas acquire a role as semantic hubs. By differentially reaching into motor or visual areas, the cortical distributions of the emergent 'semantic circuits' reflect aspects of the represented symbols' meaning, thus explaining category-specificity. The improved connectivity structure of our model entails a degree of category-specificity even in the 'semantic hubs' of the model. The relative time-course of activation of these areas is typically fast and near-simultaneous, with semantic hubs central to the network structure activating before modality-preferential areas carrying semantic information.", "author" : [ { "dropping-particle" : "", "family" : "Tomasello", "given" : "Rosario", "non-dropping-particle" : "", "parse-names" : false, "suffix" : "" }, { "dropping-particle" : "", "family" : "Garagnani", "given" : "Max", "non-dropping-particle" : "", "parse-names" : false, "suffix" : "" }, { "dropping-particle" : "", "family" : "Wennekers", "given" : "Thomas", "non-dropping-particle" : "", "parse-names" : false, "suffix" : "" }, { "dropping-particle" : "", "family" : "Pulverm\u00fcller", "given" : "Friedemann", "non-dropping-particle" : "", "parse-names" : false, "suffix" : "" } ], "container-title" : "Neuropsychologia", "id" : "ITEM-1", "issue" : "April", "issued" : { "date-parts" : [ [ "2017" ] ] }, "page" : "111-129", "title" : "Brain connections of words, perceptions and actions: A neurobiological model of spatio-temporal semantic activation in the human cortex", "type" : "article-journal", "volume" : "98" }, "uris" : [ "http://www.mendeley.com/documents/?uuid=d40add22-d615-41bc-8a72-daad31f31798" ] }, { "id" : "ITEM-2", "itemData" : { "DOI" : "10.1111/ejn.13145", "ISSN" : "14609568", "PMID" : "26660067", "abstract" : "Current neurobiological accounts of language and cognition offer diverging views on the questions of \u2018where\u2019 and \u2018how\u2019 semantic information is stored and processed in the human brain. Neuroimaging data showing consistent activation of different multi-modal areas during word and sentence comprehension suggest that all meanings are processed indistinctively, by a set of general semantic centres or \u2018hubs\u2019. However, words belonging to specific semantic categories selectively activate modality-preferential areas; for example, action-related words spark activity in dorsal motor cortex, whereas object-related ones activate ventral visual areas. The evidence for category-specific and category-general semantic areas begs for a unifying explanation, able to integrate the emergence of both. Here, a neurobiological model offering such an explanation is described. Using a neural architecture replicating anatomical and neurophysiological features of frontal, occipital and temporal cortices, basic aspects of word learning and semantic grounding in action and perception were simulated. As the network underwent training, distributed lexico-semantic circuits spontaneously emerged. These circuits exhibited different cortical distributions that reached into dorsal-motor or ventral-visual areas, reflecting the correlated category-specific sensorimotor patterns that co-occurred during action- or object-related semantic grounding, respectively. Crucially, substantial numbers of neurons of both types of distributed circuits emerged in areas interfacing between modality-preferential regions, i.e. in multimodal connection hubs, which therefore became loci of general semantic binding. By relating neuroanatomical structure and cellular-level learning mechanisms with system-level cognitive function, this model offers a neurobiological account of category-general and category-specific semantic areas based on the different cortical distributions of the underlying semantic circuits.", "author" : [ { "dropping-particle" : "", "family" : "Garagnani", "given" : "Max", "non-dropping-particle" : "", "parse-names" : false, "suffix" : "" }, { "dropping-particle" : "", "family" : "Pulverm\u00fcller", "given" : "Friedemann", "non-dropping-particle" : "", "parse-names" : false, "suffix" : "" } ], "container-title" : "European Journal of Neuroscience", "id" : "ITEM-2", "issue" : "6", "issued" : { "date-parts" : [ [ "2016" ] ] }, "page" : "721-737", "title" : "Conceptual grounding of language in action and perception: A neurocomputational model of the emergence of category specificity and semantic hubs", "type" : "article-journal", "volume" : "43" }, "uris" : [ "http://www.mendeley.com/documents/?uuid=a62ced76-f824-4d5c-b637-089f298a93a8" ] } ], "mendeley" : { "formattedCitation" : "(Garagnani and Pulverm\u00fcller, 2016; Tomasello et al., 2017)", "plainTextFormattedCitation" : "(Garagnani and Pulverm\u00fcller, 2016; Tomasello et al., 2017)", "previouslyFormattedCitation" : "(Garagnani and Pulverm\u00fcller, 2016; Tomasello et al., 2017)" }, "properties" : {  }, "schema" : "https://github.com/citation-style-language/schema/raw/master/csl-citation.json" }</w:instrText>
      </w:r>
      <w:r w:rsidR="002C1FC5" w:rsidRPr="007C17A6">
        <w:rPr>
          <w:rFonts w:ascii="Times New Roman" w:hAnsi="Times New Roman" w:cs="Times New Roman"/>
          <w:noProof/>
        </w:rPr>
        <w:fldChar w:fldCharType="separate"/>
      </w:r>
      <w:r w:rsidR="0096169A" w:rsidRPr="007C17A6">
        <w:rPr>
          <w:rFonts w:ascii="Times New Roman" w:hAnsi="Times New Roman" w:cs="Times New Roman"/>
          <w:noProof/>
          <w:color w:val="000000" w:themeColor="text1"/>
          <w:sz w:val="24"/>
          <w:szCs w:val="24"/>
          <w:lang w:val="en-GB"/>
        </w:rPr>
        <w:t>(Garagnani and Pulvermüller, 2016; Tomasello et al., 2017)</w:t>
      </w:r>
      <w:r w:rsidR="002C1FC5" w:rsidRPr="007C17A6">
        <w:rPr>
          <w:rFonts w:ascii="Times New Roman" w:hAnsi="Times New Roman" w:cs="Times New Roman"/>
          <w:noProof/>
        </w:rPr>
        <w:fldChar w:fldCharType="end"/>
      </w:r>
      <w:r w:rsidR="002C1FC5" w:rsidRPr="007C17A6">
        <w:rPr>
          <w:rFonts w:ascii="Times New Roman" w:hAnsi="Times New Roman" w:cs="Times New Roman"/>
          <w:noProof/>
        </w:rPr>
        <w:t xml:space="preserve"> </w:t>
      </w:r>
      <w:r w:rsidR="002C1FC5" w:rsidRPr="007C17A6">
        <w:rPr>
          <w:rFonts w:ascii="Times New Roman" w:hAnsi="Times New Roman" w:cs="Times New Roman"/>
          <w:noProof/>
          <w:color w:val="000000" w:themeColor="text1"/>
          <w:sz w:val="24"/>
          <w:szCs w:val="24"/>
          <w:lang w:val="en-GB"/>
        </w:rPr>
        <w:t xml:space="preserve">by introducing, for the first time, </w:t>
      </w:r>
      <w:r w:rsidR="00916668" w:rsidRPr="007C17A6">
        <w:rPr>
          <w:rFonts w:ascii="Times New Roman" w:hAnsi="Times New Roman" w:cs="Times New Roman"/>
          <w:noProof/>
          <w:color w:val="000000" w:themeColor="text1"/>
          <w:sz w:val="24"/>
          <w:szCs w:val="24"/>
          <w:lang w:val="en-GB"/>
        </w:rPr>
        <w:t xml:space="preserve">spiking neuronal cells </w:t>
      </w:r>
      <w:r w:rsidR="002C1FC5" w:rsidRPr="007C17A6">
        <w:rPr>
          <w:rFonts w:ascii="Times New Roman" w:hAnsi="Times New Roman" w:cs="Times New Roman"/>
          <w:noProof/>
          <w:color w:val="000000" w:themeColor="text1"/>
          <w:sz w:val="24"/>
          <w:szCs w:val="24"/>
          <w:lang w:val="en-GB"/>
        </w:rPr>
        <w:t>in a</w:t>
      </w:r>
      <w:r w:rsidR="00916668" w:rsidRPr="007C17A6">
        <w:rPr>
          <w:rFonts w:ascii="Times New Roman" w:hAnsi="Times New Roman" w:cs="Times New Roman"/>
          <w:noProof/>
          <w:color w:val="000000" w:themeColor="text1"/>
          <w:sz w:val="24"/>
          <w:szCs w:val="24"/>
          <w:lang w:val="en-GB"/>
        </w:rPr>
        <w:t xml:space="preserve"> neuroanatomical </w:t>
      </w:r>
      <w:r w:rsidR="002C1FC5" w:rsidRPr="007C17A6">
        <w:rPr>
          <w:rFonts w:ascii="Times New Roman" w:hAnsi="Times New Roman" w:cs="Times New Roman"/>
          <w:noProof/>
          <w:color w:val="000000" w:themeColor="text1"/>
          <w:sz w:val="24"/>
          <w:szCs w:val="24"/>
          <w:lang w:val="en-GB"/>
        </w:rPr>
        <w:t xml:space="preserve">constrained model </w:t>
      </w:r>
      <w:r w:rsidR="001213BE" w:rsidRPr="007C17A6">
        <w:rPr>
          <w:rFonts w:ascii="Times New Roman" w:hAnsi="Times New Roman" w:cs="Times New Roman"/>
          <w:noProof/>
          <w:color w:val="000000" w:themeColor="text1"/>
          <w:sz w:val="24"/>
          <w:szCs w:val="24"/>
          <w:lang w:val="en-GB"/>
        </w:rPr>
        <w:t xml:space="preserve">with brain like connectivity, </w:t>
      </w:r>
      <w:r w:rsidR="00916668" w:rsidRPr="007C17A6">
        <w:rPr>
          <w:rFonts w:ascii="Times New Roman" w:hAnsi="Times New Roman" w:cs="Times New Roman"/>
          <w:noProof/>
          <w:color w:val="000000" w:themeColor="text1"/>
          <w:sz w:val="24"/>
          <w:szCs w:val="24"/>
          <w:lang w:val="en-GB" w:eastAsia="zh-CN"/>
        </w:rPr>
        <w:t xml:space="preserve">we show that Hebbian </w:t>
      </w:r>
      <w:r w:rsidR="00916668" w:rsidRPr="007C17A6">
        <w:rPr>
          <w:rFonts w:ascii="Times New Roman" w:hAnsi="Times New Roman" w:cs="Times New Roman"/>
          <w:noProof/>
          <w:color w:val="000000" w:themeColor="text1"/>
          <w:sz w:val="24"/>
          <w:szCs w:val="24"/>
          <w:lang w:val="en-GB"/>
        </w:rPr>
        <w:t>associative learning and connectivity</w:t>
      </w:r>
      <w:r w:rsidR="00916668" w:rsidRPr="007C17A6">
        <w:rPr>
          <w:rFonts w:ascii="Times New Roman" w:hAnsi="Times New Roman" w:cs="Times New Roman"/>
          <w:noProof/>
          <w:color w:val="000000" w:themeColor="text1"/>
          <w:sz w:val="24"/>
          <w:szCs w:val="24"/>
          <w:lang w:val="en-GB" w:eastAsia="zh-CN"/>
        </w:rPr>
        <w:t xml:space="preserve"> together </w:t>
      </w:r>
      <w:r w:rsidR="006001D0" w:rsidRPr="007C17A6">
        <w:rPr>
          <w:rFonts w:ascii="Times New Roman" w:hAnsi="Times New Roman" w:cs="Times New Roman"/>
          <w:noProof/>
          <w:color w:val="000000" w:themeColor="text1"/>
          <w:sz w:val="24"/>
          <w:szCs w:val="24"/>
          <w:lang w:val="en-GB" w:eastAsia="zh-CN"/>
        </w:rPr>
        <w:t xml:space="preserve">are sufficient to </w:t>
      </w:r>
      <w:r w:rsidR="002C1FC5" w:rsidRPr="007C17A6">
        <w:rPr>
          <w:rFonts w:ascii="Times New Roman" w:hAnsi="Times New Roman" w:cs="Times New Roman"/>
          <w:noProof/>
          <w:color w:val="000000" w:themeColor="text1"/>
          <w:sz w:val="24"/>
          <w:szCs w:val="24"/>
          <w:lang w:val="en-GB" w:eastAsia="zh-CN"/>
        </w:rPr>
        <w:t>account</w:t>
      </w:r>
      <w:r w:rsidR="00E5421A" w:rsidRPr="007C17A6">
        <w:rPr>
          <w:rFonts w:ascii="Times New Roman" w:hAnsi="Times New Roman" w:cs="Times New Roman"/>
          <w:noProof/>
          <w:color w:val="000000" w:themeColor="text1"/>
          <w:sz w:val="24"/>
          <w:szCs w:val="24"/>
          <w:lang w:val="en-GB" w:eastAsia="zh-CN"/>
        </w:rPr>
        <w:t xml:space="preserve"> </w:t>
      </w:r>
      <w:r w:rsidR="002C1FC5" w:rsidRPr="007C17A6">
        <w:rPr>
          <w:rFonts w:ascii="Times New Roman" w:hAnsi="Times New Roman" w:cs="Times New Roman"/>
          <w:noProof/>
          <w:color w:val="000000" w:themeColor="text1"/>
          <w:sz w:val="24"/>
          <w:szCs w:val="24"/>
          <w:lang w:val="en-GB" w:eastAsia="zh-CN"/>
        </w:rPr>
        <w:t xml:space="preserve">for </w:t>
      </w:r>
      <w:r w:rsidR="00E5421A" w:rsidRPr="007C17A6">
        <w:rPr>
          <w:rFonts w:ascii="Times New Roman" w:hAnsi="Times New Roman" w:cs="Times New Roman"/>
          <w:noProof/>
          <w:color w:val="000000" w:themeColor="text1"/>
          <w:sz w:val="24"/>
          <w:szCs w:val="24"/>
          <w:lang w:val="en-GB" w:eastAsia="zh-CN"/>
        </w:rPr>
        <w:t xml:space="preserve">the </w:t>
      </w:r>
      <w:r w:rsidR="00916668" w:rsidRPr="007C17A6">
        <w:rPr>
          <w:rFonts w:ascii="Times New Roman" w:hAnsi="Times New Roman" w:cs="Times New Roman"/>
          <w:noProof/>
          <w:color w:val="000000" w:themeColor="text1"/>
          <w:sz w:val="24"/>
          <w:szCs w:val="24"/>
          <w:lang w:val="en-GB" w:eastAsia="zh-CN"/>
        </w:rPr>
        <w:t xml:space="preserve">emergence </w:t>
      </w:r>
      <w:r w:rsidR="00E5421A" w:rsidRPr="007C17A6">
        <w:rPr>
          <w:rFonts w:ascii="Times New Roman" w:hAnsi="Times New Roman" w:cs="Times New Roman"/>
          <w:noProof/>
          <w:color w:val="000000" w:themeColor="text1"/>
          <w:sz w:val="24"/>
          <w:szCs w:val="24"/>
          <w:lang w:val="en-GB" w:eastAsia="zh-CN"/>
        </w:rPr>
        <w:t xml:space="preserve">of </w:t>
      </w:r>
      <w:r w:rsidRPr="007C17A6">
        <w:rPr>
          <w:rFonts w:ascii="Times New Roman" w:hAnsi="Times New Roman" w:cs="Times New Roman"/>
          <w:noProof/>
          <w:color w:val="000000" w:themeColor="text1"/>
          <w:sz w:val="24"/>
          <w:szCs w:val="24"/>
          <w:lang w:val="en-GB" w:eastAsia="zh-CN"/>
        </w:rPr>
        <w:t xml:space="preserve">general semantic </w:t>
      </w:r>
      <w:r w:rsidR="00E5421A" w:rsidRPr="007C17A6">
        <w:rPr>
          <w:rFonts w:ascii="Times New Roman" w:hAnsi="Times New Roman" w:cs="Times New Roman"/>
          <w:noProof/>
          <w:color w:val="000000" w:themeColor="text1"/>
          <w:sz w:val="24"/>
          <w:szCs w:val="24"/>
          <w:lang w:val="en-GB" w:eastAsia="zh-CN"/>
        </w:rPr>
        <w:t>areas (</w:t>
      </w:r>
      <w:r w:rsidR="00CA2CFE" w:rsidRPr="007C17A6">
        <w:rPr>
          <w:rFonts w:ascii="Times New Roman" w:hAnsi="Times New Roman" w:cs="Times New Roman"/>
          <w:noProof/>
          <w:color w:val="000000" w:themeColor="text1"/>
          <w:sz w:val="24"/>
          <w:szCs w:val="24"/>
          <w:lang w:val="en-GB" w:eastAsia="zh-CN"/>
        </w:rPr>
        <w:t xml:space="preserve">‘semantic </w:t>
      </w:r>
      <w:r w:rsidR="00E5421A" w:rsidRPr="007C17A6">
        <w:rPr>
          <w:rFonts w:ascii="Times New Roman" w:hAnsi="Times New Roman" w:cs="Times New Roman"/>
          <w:noProof/>
          <w:color w:val="000000" w:themeColor="text1"/>
          <w:sz w:val="24"/>
          <w:szCs w:val="24"/>
          <w:lang w:val="en-GB" w:eastAsia="zh-CN"/>
        </w:rPr>
        <w:t>hubs</w:t>
      </w:r>
      <w:r w:rsidR="00CA2CFE" w:rsidRPr="007C17A6">
        <w:rPr>
          <w:rFonts w:ascii="Times New Roman" w:hAnsi="Times New Roman" w:cs="Times New Roman"/>
          <w:noProof/>
          <w:color w:val="000000" w:themeColor="text1"/>
          <w:sz w:val="24"/>
          <w:szCs w:val="24"/>
          <w:lang w:val="en-GB" w:eastAsia="zh-CN"/>
        </w:rPr>
        <w:t>’</w:t>
      </w:r>
      <w:r w:rsidR="00E5421A" w:rsidRPr="007C17A6">
        <w:rPr>
          <w:rFonts w:ascii="Times New Roman" w:hAnsi="Times New Roman" w:cs="Times New Roman"/>
          <w:noProof/>
          <w:color w:val="000000" w:themeColor="text1"/>
          <w:sz w:val="24"/>
          <w:szCs w:val="24"/>
          <w:lang w:val="en-GB" w:eastAsia="zh-CN"/>
        </w:rPr>
        <w:t>)</w:t>
      </w:r>
      <w:r w:rsidR="002C1FC5" w:rsidRPr="007C17A6">
        <w:rPr>
          <w:rFonts w:ascii="Times New Roman" w:hAnsi="Times New Roman" w:cs="Times New Roman"/>
          <w:noProof/>
          <w:color w:val="000000" w:themeColor="text1"/>
          <w:sz w:val="24"/>
          <w:szCs w:val="24"/>
          <w:lang w:val="en-GB" w:eastAsia="zh-CN"/>
        </w:rPr>
        <w:t>, as well</w:t>
      </w:r>
      <w:r w:rsidR="00E5421A" w:rsidRPr="007C17A6">
        <w:rPr>
          <w:rFonts w:ascii="Times New Roman" w:hAnsi="Times New Roman" w:cs="Times New Roman"/>
          <w:noProof/>
          <w:color w:val="000000" w:themeColor="text1"/>
          <w:sz w:val="24"/>
          <w:szCs w:val="24"/>
          <w:lang w:val="en-GB" w:eastAsia="zh-CN"/>
        </w:rPr>
        <w:t xml:space="preserve"> </w:t>
      </w:r>
      <w:r w:rsidR="002C1FC5" w:rsidRPr="007C17A6">
        <w:rPr>
          <w:rFonts w:ascii="Times New Roman" w:hAnsi="Times New Roman" w:cs="Times New Roman"/>
          <w:noProof/>
          <w:color w:val="000000" w:themeColor="text1"/>
          <w:sz w:val="24"/>
          <w:szCs w:val="24"/>
          <w:lang w:val="en-GB" w:eastAsia="zh-CN"/>
        </w:rPr>
        <w:t xml:space="preserve">as </w:t>
      </w:r>
      <w:r w:rsidR="00E5421A" w:rsidRPr="007C17A6">
        <w:rPr>
          <w:rFonts w:ascii="Times New Roman" w:hAnsi="Times New Roman" w:cs="Times New Roman"/>
          <w:noProof/>
          <w:color w:val="000000" w:themeColor="text1"/>
          <w:sz w:val="24"/>
          <w:szCs w:val="24"/>
          <w:lang w:val="en-GB" w:eastAsia="zh-CN"/>
        </w:rPr>
        <w:t>specific contribution</w:t>
      </w:r>
      <w:r w:rsidR="002C1FC5" w:rsidRPr="007C17A6">
        <w:rPr>
          <w:rFonts w:ascii="Times New Roman" w:hAnsi="Times New Roman" w:cs="Times New Roman"/>
          <w:noProof/>
          <w:color w:val="000000" w:themeColor="text1"/>
          <w:sz w:val="24"/>
          <w:szCs w:val="24"/>
          <w:lang w:val="en-GB" w:eastAsia="zh-CN"/>
        </w:rPr>
        <w:t>s</w:t>
      </w:r>
      <w:r w:rsidR="00E5421A" w:rsidRPr="007C17A6">
        <w:rPr>
          <w:rFonts w:ascii="Times New Roman" w:hAnsi="Times New Roman" w:cs="Times New Roman"/>
          <w:noProof/>
          <w:color w:val="000000" w:themeColor="text1"/>
          <w:sz w:val="24"/>
          <w:szCs w:val="24"/>
          <w:lang w:val="en-GB" w:eastAsia="zh-CN"/>
        </w:rPr>
        <w:t xml:space="preserve"> of others modality-preferential ones to </w:t>
      </w:r>
      <w:r w:rsidR="00CA2CFE" w:rsidRPr="007C17A6">
        <w:rPr>
          <w:rFonts w:ascii="Times New Roman" w:hAnsi="Times New Roman" w:cs="Times New Roman"/>
          <w:noProof/>
          <w:color w:val="000000" w:themeColor="text1"/>
          <w:sz w:val="24"/>
          <w:szCs w:val="24"/>
          <w:lang w:val="en-GB" w:eastAsia="zh-CN"/>
        </w:rPr>
        <w:t xml:space="preserve">the </w:t>
      </w:r>
      <w:r w:rsidRPr="007C17A6">
        <w:rPr>
          <w:rFonts w:ascii="Times New Roman" w:hAnsi="Times New Roman" w:cs="Times New Roman"/>
          <w:noProof/>
          <w:color w:val="000000" w:themeColor="text1"/>
          <w:sz w:val="24"/>
          <w:szCs w:val="24"/>
          <w:lang w:val="en-GB" w:eastAsia="zh-CN"/>
        </w:rPr>
        <w:t xml:space="preserve">processing </w:t>
      </w:r>
      <w:r w:rsidR="00CA2CFE" w:rsidRPr="007C17A6">
        <w:rPr>
          <w:rFonts w:ascii="Times New Roman" w:hAnsi="Times New Roman" w:cs="Times New Roman"/>
          <w:noProof/>
          <w:color w:val="000000" w:themeColor="text1"/>
          <w:sz w:val="24"/>
          <w:szCs w:val="24"/>
          <w:lang w:val="en-GB" w:eastAsia="zh-CN"/>
        </w:rPr>
        <w:t xml:space="preserve">of specific </w:t>
      </w:r>
      <w:r w:rsidR="00E5421A" w:rsidRPr="007C17A6">
        <w:rPr>
          <w:rFonts w:ascii="Times New Roman" w:hAnsi="Times New Roman" w:cs="Times New Roman"/>
          <w:noProof/>
          <w:color w:val="000000" w:themeColor="text1"/>
          <w:sz w:val="24"/>
          <w:szCs w:val="24"/>
          <w:lang w:val="en-GB" w:eastAsia="zh-CN"/>
        </w:rPr>
        <w:t>semantic categories</w:t>
      </w:r>
      <w:r w:rsidRPr="007C17A6">
        <w:rPr>
          <w:rFonts w:ascii="Times New Roman" w:hAnsi="Times New Roman" w:cs="Times New Roman"/>
          <w:noProof/>
          <w:color w:val="000000" w:themeColor="text1"/>
          <w:sz w:val="24"/>
          <w:szCs w:val="24"/>
          <w:lang w:val="en-GB" w:eastAsia="zh-CN"/>
        </w:rPr>
        <w:t>.</w:t>
      </w:r>
      <w:r w:rsidR="00916668" w:rsidRPr="007C17A6">
        <w:rPr>
          <w:rFonts w:ascii="Times New Roman" w:hAnsi="Times New Roman" w:cs="Times New Roman"/>
          <w:color w:val="000000" w:themeColor="text1"/>
          <w:sz w:val="24"/>
          <w:szCs w:val="24"/>
          <w:lang w:val="en-GB"/>
        </w:rPr>
        <w:t xml:space="preserve"> </w:t>
      </w:r>
      <w:r w:rsidRPr="007C17A6">
        <w:rPr>
          <w:rFonts w:ascii="Times New Roman" w:hAnsi="Times New Roman" w:cs="Times New Roman"/>
          <w:color w:val="000000" w:themeColor="text1"/>
          <w:sz w:val="24"/>
          <w:szCs w:val="24"/>
          <w:lang w:val="en-GB"/>
        </w:rPr>
        <w:t>The present simulation results</w:t>
      </w:r>
      <w:r w:rsidR="002C1FC5" w:rsidRPr="007C17A6">
        <w:rPr>
          <w:rFonts w:ascii="Times New Roman" w:hAnsi="Times New Roman" w:cs="Times New Roman"/>
          <w:color w:val="000000" w:themeColor="text1"/>
          <w:sz w:val="24"/>
          <w:szCs w:val="24"/>
          <w:lang w:val="en-GB"/>
        </w:rPr>
        <w:t xml:space="preserve"> show</w:t>
      </w:r>
      <w:r w:rsidRPr="007C17A6">
        <w:rPr>
          <w:rFonts w:ascii="Times New Roman" w:hAnsi="Times New Roman" w:cs="Times New Roman"/>
          <w:color w:val="000000" w:themeColor="text1"/>
          <w:sz w:val="24"/>
          <w:szCs w:val="24"/>
          <w:lang w:val="en-GB"/>
        </w:rPr>
        <w:t xml:space="preserve"> </w:t>
      </w:r>
      <w:r w:rsidR="006001D0" w:rsidRPr="007C17A6">
        <w:rPr>
          <w:rFonts w:ascii="Times New Roman" w:hAnsi="Times New Roman" w:cs="Times New Roman"/>
          <w:color w:val="000000" w:themeColor="text1"/>
          <w:sz w:val="24"/>
          <w:szCs w:val="24"/>
          <w:lang w:val="en-GB"/>
        </w:rPr>
        <w:t>that</w:t>
      </w:r>
      <w:r w:rsidR="002C1FC5" w:rsidRPr="007C17A6">
        <w:rPr>
          <w:rFonts w:ascii="Times New Roman" w:hAnsi="Times New Roman" w:cs="Times New Roman"/>
          <w:color w:val="000000" w:themeColor="text1"/>
          <w:sz w:val="24"/>
          <w:szCs w:val="24"/>
          <w:lang w:val="en-GB"/>
        </w:rPr>
        <w:t xml:space="preserve"> neurobiologically constrained networks </w:t>
      </w:r>
      <w:r w:rsidRPr="007C17A6">
        <w:rPr>
          <w:rFonts w:ascii="Times New Roman" w:hAnsi="Times New Roman" w:cs="Times New Roman"/>
          <w:color w:val="000000" w:themeColor="text1"/>
          <w:sz w:val="24"/>
          <w:szCs w:val="24"/>
          <w:lang w:val="en-GB"/>
        </w:rPr>
        <w:t xml:space="preserve">can </w:t>
      </w:r>
      <w:r w:rsidR="006001D0" w:rsidRPr="007C17A6">
        <w:rPr>
          <w:rFonts w:ascii="Times New Roman" w:hAnsi="Times New Roman" w:cs="Times New Roman"/>
          <w:color w:val="000000" w:themeColor="text1"/>
          <w:sz w:val="24"/>
          <w:szCs w:val="24"/>
          <w:lang w:val="en-GB"/>
        </w:rPr>
        <w:t xml:space="preserve">fruitfully </w:t>
      </w:r>
      <w:r w:rsidR="00CA2CFE" w:rsidRPr="007C17A6">
        <w:rPr>
          <w:rFonts w:ascii="Times New Roman" w:hAnsi="Times New Roman" w:cs="Times New Roman"/>
          <w:color w:val="000000" w:themeColor="text1"/>
          <w:sz w:val="24"/>
          <w:szCs w:val="24"/>
          <w:lang w:val="en-GB"/>
        </w:rPr>
        <w:t>contribute to</w:t>
      </w:r>
      <w:r w:rsidR="00E91AB3" w:rsidRPr="007C17A6">
        <w:rPr>
          <w:rFonts w:ascii="Times New Roman" w:hAnsi="Times New Roman" w:cs="Times New Roman"/>
          <w:sz w:val="24"/>
          <w:szCs w:val="24"/>
          <w:lang w:val="en-GB" w:eastAsia="zh-CN"/>
        </w:rPr>
        <w:t xml:space="preserve"> bridg</w:t>
      </w:r>
      <w:r w:rsidR="00CA2CFE" w:rsidRPr="007C17A6">
        <w:rPr>
          <w:rFonts w:ascii="Times New Roman" w:hAnsi="Times New Roman" w:cs="Times New Roman"/>
          <w:sz w:val="24"/>
          <w:szCs w:val="24"/>
          <w:lang w:val="en-GB" w:eastAsia="zh-CN"/>
        </w:rPr>
        <w:t>ing</w:t>
      </w:r>
      <w:r w:rsidR="00E91AB3" w:rsidRPr="007C17A6">
        <w:rPr>
          <w:rFonts w:ascii="Times New Roman" w:hAnsi="Times New Roman" w:cs="Times New Roman"/>
          <w:sz w:val="24"/>
          <w:szCs w:val="24"/>
          <w:lang w:val="en-GB" w:eastAsia="zh-CN"/>
        </w:rPr>
        <w:t xml:space="preserve"> the gap between cellular-level mechanisms</w:t>
      </w:r>
      <w:r w:rsidRPr="007C17A6">
        <w:rPr>
          <w:rFonts w:ascii="Times New Roman" w:hAnsi="Times New Roman" w:cs="Times New Roman"/>
          <w:sz w:val="24"/>
          <w:szCs w:val="24"/>
          <w:lang w:val="en-GB" w:eastAsia="zh-CN"/>
        </w:rPr>
        <w:t xml:space="preserve">, </w:t>
      </w:r>
      <w:r w:rsidRPr="007C17A6">
        <w:rPr>
          <w:rFonts w:ascii="Times New Roman" w:hAnsi="Times New Roman" w:cs="Times New Roman"/>
          <w:noProof/>
          <w:sz w:val="24"/>
          <w:szCs w:val="24"/>
          <w:lang w:val="en-GB" w:eastAsia="zh-CN"/>
        </w:rPr>
        <w:t>behavio</w:t>
      </w:r>
      <w:r w:rsidR="00707C77" w:rsidRPr="007C17A6">
        <w:rPr>
          <w:rFonts w:ascii="Times New Roman" w:hAnsi="Times New Roman" w:cs="Times New Roman"/>
          <w:noProof/>
          <w:sz w:val="24"/>
          <w:szCs w:val="24"/>
          <w:lang w:val="en-GB" w:eastAsia="zh-CN"/>
        </w:rPr>
        <w:t>u</w:t>
      </w:r>
      <w:r w:rsidRPr="007C17A6">
        <w:rPr>
          <w:rFonts w:ascii="Times New Roman" w:hAnsi="Times New Roman" w:cs="Times New Roman"/>
          <w:noProof/>
          <w:sz w:val="24"/>
          <w:szCs w:val="24"/>
          <w:lang w:val="en-GB" w:eastAsia="zh-CN"/>
        </w:rPr>
        <w:t>r</w:t>
      </w:r>
      <w:r w:rsidR="00CA2CFE" w:rsidRPr="007C17A6">
        <w:rPr>
          <w:rFonts w:ascii="Times New Roman" w:hAnsi="Times New Roman" w:cs="Times New Roman"/>
          <w:noProof/>
          <w:sz w:val="24"/>
          <w:szCs w:val="24"/>
          <w:lang w:val="en-GB" w:eastAsia="zh-CN"/>
        </w:rPr>
        <w:t xml:space="preserve"> and cognition by integrating brain theory with experimental data</w:t>
      </w:r>
      <w:r w:rsidR="00E91AB3" w:rsidRPr="007C17A6">
        <w:rPr>
          <w:rFonts w:ascii="Times New Roman" w:hAnsi="Times New Roman" w:cs="Times New Roman"/>
          <w:sz w:val="24"/>
          <w:szCs w:val="24"/>
          <w:lang w:val="en-GB" w:eastAsia="zh-CN"/>
        </w:rPr>
        <w:t>.</w:t>
      </w:r>
      <w:r w:rsidR="00916668" w:rsidRPr="007C17A6">
        <w:rPr>
          <w:rFonts w:ascii="Times New Roman" w:hAnsi="Times New Roman" w:cs="Times New Roman"/>
          <w:color w:val="000000" w:themeColor="text1"/>
          <w:sz w:val="24"/>
          <w:szCs w:val="24"/>
          <w:lang w:val="en-GB" w:eastAsia="zh-CN"/>
        </w:rPr>
        <w:t xml:space="preserve"> </w:t>
      </w:r>
    </w:p>
    <w:bookmarkEnd w:id="0"/>
    <w:bookmarkEnd w:id="1"/>
    <w:p w14:paraId="3155A1CA" w14:textId="48B71353" w:rsidR="001E016E" w:rsidRPr="007C17A6" w:rsidRDefault="001E016E" w:rsidP="00E740D6">
      <w:pPr>
        <w:pStyle w:val="Heading1"/>
        <w:spacing w:line="240" w:lineRule="auto"/>
        <w:contextualSpacing/>
        <w:rPr>
          <w:rFonts w:ascii="Times New Roman" w:hAnsi="Times New Roman"/>
          <w:b/>
          <w:sz w:val="24"/>
          <w:szCs w:val="24"/>
        </w:rPr>
      </w:pPr>
      <w:r w:rsidRPr="007C17A6">
        <w:rPr>
          <w:rFonts w:ascii="Times New Roman" w:hAnsi="Times New Roman"/>
          <w:b/>
          <w:noProof/>
          <w:sz w:val="24"/>
          <w:szCs w:val="24"/>
        </w:rPr>
        <w:t>Acknowledg</w:t>
      </w:r>
      <w:r w:rsidR="0083572A" w:rsidRPr="007C17A6">
        <w:rPr>
          <w:rFonts w:ascii="Times New Roman" w:hAnsi="Times New Roman"/>
          <w:b/>
          <w:noProof/>
          <w:sz w:val="24"/>
          <w:szCs w:val="24"/>
        </w:rPr>
        <w:t>e</w:t>
      </w:r>
      <w:r w:rsidRPr="007C17A6">
        <w:rPr>
          <w:rFonts w:ascii="Times New Roman" w:hAnsi="Times New Roman"/>
          <w:b/>
          <w:noProof/>
          <w:sz w:val="24"/>
          <w:szCs w:val="24"/>
        </w:rPr>
        <w:t>ments</w:t>
      </w:r>
      <w:r w:rsidRPr="007C17A6">
        <w:rPr>
          <w:rFonts w:ascii="Times New Roman" w:hAnsi="Times New Roman"/>
          <w:b/>
          <w:sz w:val="24"/>
          <w:szCs w:val="24"/>
        </w:rPr>
        <w:t xml:space="preserve"> </w:t>
      </w:r>
    </w:p>
    <w:p w14:paraId="07DB6D82" w14:textId="13939806" w:rsidR="00E64BEF" w:rsidRPr="007C17A6" w:rsidRDefault="001E016E" w:rsidP="00E740D6">
      <w:pPr>
        <w:spacing w:before="120" w:after="120" w:line="240" w:lineRule="auto"/>
        <w:jc w:val="both"/>
        <w:rPr>
          <w:rFonts w:ascii="Times New Roman" w:hAnsi="Times New Roman" w:cs="Times New Roman"/>
          <w:sz w:val="24"/>
          <w:szCs w:val="24"/>
          <w:lang w:val="en-GB"/>
        </w:rPr>
      </w:pPr>
      <w:r w:rsidRPr="007C17A6">
        <w:rPr>
          <w:rFonts w:ascii="Times New Roman" w:eastAsia="Arial Unicode MS" w:hAnsi="Times New Roman" w:cs="Times New Roman"/>
          <w:color w:val="000000" w:themeColor="text1"/>
          <w:sz w:val="24"/>
          <w:szCs w:val="24"/>
        </w:rPr>
        <w:t xml:space="preserve">Supported by the </w:t>
      </w:r>
      <w:proofErr w:type="spellStart"/>
      <w:r w:rsidRPr="007C17A6">
        <w:rPr>
          <w:rFonts w:ascii="Times New Roman" w:eastAsia="Arial Unicode MS" w:hAnsi="Times New Roman" w:cs="Times New Roman"/>
          <w:color w:val="000000" w:themeColor="text1"/>
          <w:sz w:val="24"/>
          <w:szCs w:val="24"/>
        </w:rPr>
        <w:t>Freie</w:t>
      </w:r>
      <w:proofErr w:type="spellEnd"/>
      <w:r w:rsidRPr="007C17A6">
        <w:rPr>
          <w:rFonts w:ascii="Times New Roman" w:eastAsia="Arial Unicode MS" w:hAnsi="Times New Roman" w:cs="Times New Roman"/>
          <w:color w:val="000000" w:themeColor="text1"/>
          <w:sz w:val="24"/>
          <w:szCs w:val="24"/>
        </w:rPr>
        <w:t xml:space="preserve"> Universität Berlin, Deutsche </w:t>
      </w:r>
      <w:proofErr w:type="spellStart"/>
      <w:r w:rsidRPr="007C17A6">
        <w:rPr>
          <w:rFonts w:ascii="Times New Roman" w:eastAsia="Arial Unicode MS" w:hAnsi="Times New Roman" w:cs="Times New Roman"/>
          <w:color w:val="000000" w:themeColor="text1"/>
          <w:sz w:val="24"/>
          <w:szCs w:val="24"/>
        </w:rPr>
        <w:t>Forschungsgemeinschaft</w:t>
      </w:r>
      <w:proofErr w:type="spellEnd"/>
      <w:r w:rsidRPr="007C17A6">
        <w:rPr>
          <w:rFonts w:ascii="Times New Roman" w:eastAsia="Arial Unicode MS" w:hAnsi="Times New Roman" w:cs="Times New Roman"/>
          <w:color w:val="000000" w:themeColor="text1"/>
          <w:sz w:val="24"/>
          <w:szCs w:val="24"/>
        </w:rPr>
        <w:t xml:space="preserve"> (Pu 97/22-1), Engineering and Physical Sciences Research Council (EPSRC) and Biotechnology and Biological Sciences Research Council (BBSRC) UK (project grant no. EP/J004561/1: BABEL – Brain-inspired architecture for brain embodied language) and the Berlin School of Mind and Brain, Humboldt Universität</w:t>
      </w:r>
      <w:r w:rsidR="00CA2CFE" w:rsidRPr="007C17A6">
        <w:rPr>
          <w:rFonts w:ascii="Times New Roman" w:eastAsia="Arial Unicode MS" w:hAnsi="Times New Roman" w:cs="Times New Roman"/>
          <w:color w:val="000000" w:themeColor="text1"/>
          <w:sz w:val="24"/>
          <w:szCs w:val="24"/>
        </w:rPr>
        <w:t xml:space="preserve"> (PhD fellowship to RT)</w:t>
      </w:r>
      <w:r w:rsidRPr="007C17A6">
        <w:rPr>
          <w:rFonts w:ascii="Times New Roman" w:eastAsia="Arial Unicode MS" w:hAnsi="Times New Roman" w:cs="Times New Roman"/>
          <w:color w:val="000000" w:themeColor="text1"/>
          <w:sz w:val="24"/>
          <w:szCs w:val="24"/>
        </w:rPr>
        <w:t>.</w:t>
      </w:r>
      <w:r w:rsidRPr="007C17A6">
        <w:rPr>
          <w:rFonts w:ascii="Times New Roman" w:hAnsi="Times New Roman" w:cs="Times New Roman"/>
          <w:sz w:val="24"/>
          <w:szCs w:val="24"/>
          <w:lang w:val="en-GB"/>
        </w:rPr>
        <w:t xml:space="preserve"> </w:t>
      </w:r>
      <w:r w:rsidRPr="007C17A6">
        <w:rPr>
          <w:rFonts w:ascii="Times New Roman" w:hAnsi="Times New Roman" w:cs="Times New Roman"/>
          <w:noProof/>
          <w:sz w:val="24"/>
          <w:szCs w:val="24"/>
          <w:lang w:val="en-GB"/>
        </w:rPr>
        <w:t>The authors would also like to thank the HPC Service of ZEDAT, Freie Universit</w:t>
      </w:r>
      <w:proofErr w:type="spellStart"/>
      <w:r w:rsidRPr="007C17A6">
        <w:rPr>
          <w:rFonts w:ascii="Times New Roman" w:hAnsi="Times New Roman" w:cs="Times New Roman"/>
          <w:sz w:val="24"/>
          <w:szCs w:val="24"/>
          <w:lang w:val="en-GB"/>
        </w:rPr>
        <w:t>ät</w:t>
      </w:r>
      <w:proofErr w:type="spellEnd"/>
      <w:r w:rsidRPr="007C17A6">
        <w:rPr>
          <w:rFonts w:ascii="Times New Roman" w:hAnsi="Times New Roman" w:cs="Times New Roman"/>
          <w:sz w:val="24"/>
          <w:szCs w:val="24"/>
          <w:lang w:val="en-GB"/>
        </w:rPr>
        <w:t xml:space="preserve"> Berlin, for </w:t>
      </w:r>
      <w:r w:rsidR="00CA2CFE" w:rsidRPr="007C17A6">
        <w:rPr>
          <w:rFonts w:ascii="Times New Roman" w:hAnsi="Times New Roman" w:cs="Times New Roman"/>
          <w:sz w:val="24"/>
          <w:szCs w:val="24"/>
          <w:lang w:val="en-GB"/>
        </w:rPr>
        <w:t xml:space="preserve">support and </w:t>
      </w:r>
      <w:r w:rsidRPr="007C17A6">
        <w:rPr>
          <w:rFonts w:ascii="Times New Roman" w:hAnsi="Times New Roman" w:cs="Times New Roman"/>
          <w:sz w:val="24"/>
          <w:szCs w:val="24"/>
          <w:lang w:val="en-GB"/>
        </w:rPr>
        <w:t>computing time.</w:t>
      </w:r>
    </w:p>
    <w:p w14:paraId="6EBE37F5" w14:textId="77777777" w:rsidR="0036075D" w:rsidRPr="007C17A6" w:rsidRDefault="0036075D" w:rsidP="000C076A">
      <w:pPr>
        <w:spacing w:before="120" w:after="120" w:line="240" w:lineRule="auto"/>
        <w:rPr>
          <w:rFonts w:ascii="Times New Roman" w:hAnsi="Times New Roman" w:cs="Times New Roman"/>
          <w:b/>
          <w:sz w:val="24"/>
          <w:szCs w:val="24"/>
        </w:rPr>
      </w:pPr>
      <w:r w:rsidRPr="007C17A6">
        <w:rPr>
          <w:rFonts w:ascii="Times New Roman" w:hAnsi="Times New Roman" w:cs="Times New Roman"/>
          <w:b/>
          <w:sz w:val="24"/>
          <w:szCs w:val="24"/>
        </w:rPr>
        <w:t>Author contributions</w:t>
      </w:r>
    </w:p>
    <w:p w14:paraId="1275B1C2" w14:textId="0F682F5F" w:rsidR="0036075D" w:rsidRPr="007C17A6" w:rsidRDefault="0036075D" w:rsidP="000C076A">
      <w:pPr>
        <w:spacing w:after="0" w:line="240" w:lineRule="auto"/>
        <w:jc w:val="both"/>
        <w:rPr>
          <w:rFonts w:ascii="Times New Roman" w:hAnsi="Times New Roman" w:cs="Times New Roman"/>
          <w:sz w:val="24"/>
          <w:szCs w:val="24"/>
        </w:rPr>
      </w:pPr>
      <w:r w:rsidRPr="007C17A6">
        <w:rPr>
          <w:rFonts w:ascii="Times New Roman" w:hAnsi="Times New Roman" w:cs="Times New Roman"/>
          <w:sz w:val="24"/>
          <w:szCs w:val="24"/>
        </w:rPr>
        <w:t xml:space="preserve">RT: Conceived the study, conducted the experiments, </w:t>
      </w:r>
      <w:r w:rsidRPr="007C17A6">
        <w:rPr>
          <w:rFonts w:ascii="Times New Roman" w:hAnsi="Times New Roman" w:cs="Times New Roman"/>
          <w:noProof/>
          <w:sz w:val="24"/>
          <w:szCs w:val="24"/>
        </w:rPr>
        <w:t>analy</w:t>
      </w:r>
      <w:r w:rsidR="0052370F" w:rsidRPr="007C17A6">
        <w:rPr>
          <w:rFonts w:ascii="Times New Roman" w:hAnsi="Times New Roman" w:cs="Times New Roman"/>
          <w:noProof/>
          <w:sz w:val="24"/>
          <w:szCs w:val="24"/>
        </w:rPr>
        <w:t>z</w:t>
      </w:r>
      <w:r w:rsidRPr="007C17A6">
        <w:rPr>
          <w:rFonts w:ascii="Times New Roman" w:hAnsi="Times New Roman" w:cs="Times New Roman"/>
          <w:noProof/>
          <w:sz w:val="24"/>
          <w:szCs w:val="24"/>
        </w:rPr>
        <w:t>ed</w:t>
      </w:r>
      <w:r w:rsidRPr="007C17A6">
        <w:rPr>
          <w:rFonts w:ascii="Times New Roman" w:hAnsi="Times New Roman" w:cs="Times New Roman"/>
          <w:sz w:val="24"/>
          <w:szCs w:val="24"/>
        </w:rPr>
        <w:t xml:space="preserve"> the data, wrote the paper.</w:t>
      </w:r>
    </w:p>
    <w:p w14:paraId="0C83E955" w14:textId="6689F166" w:rsidR="00434532" w:rsidRPr="007C17A6" w:rsidRDefault="0036075D" w:rsidP="000C076A">
      <w:pPr>
        <w:spacing w:after="0" w:line="240" w:lineRule="auto"/>
        <w:jc w:val="both"/>
        <w:rPr>
          <w:rFonts w:ascii="Times New Roman" w:hAnsi="Times New Roman" w:cs="Times New Roman"/>
          <w:sz w:val="24"/>
          <w:szCs w:val="24"/>
        </w:rPr>
      </w:pPr>
      <w:r w:rsidRPr="007C17A6">
        <w:rPr>
          <w:rFonts w:ascii="Times New Roman" w:hAnsi="Times New Roman" w:cs="Times New Roman"/>
          <w:sz w:val="24"/>
          <w:szCs w:val="24"/>
        </w:rPr>
        <w:t>MG, TW</w:t>
      </w:r>
      <w:r w:rsidR="0052370F" w:rsidRPr="007C17A6">
        <w:rPr>
          <w:rFonts w:ascii="Times New Roman" w:hAnsi="Times New Roman" w:cs="Times New Roman"/>
          <w:sz w:val="24"/>
          <w:szCs w:val="24"/>
        </w:rPr>
        <w:t>,</w:t>
      </w:r>
      <w:r w:rsidRPr="007C17A6">
        <w:rPr>
          <w:rFonts w:ascii="Times New Roman" w:hAnsi="Times New Roman" w:cs="Times New Roman"/>
          <w:sz w:val="24"/>
          <w:szCs w:val="24"/>
        </w:rPr>
        <w:t xml:space="preserve"> </w:t>
      </w:r>
      <w:r w:rsidRPr="007C17A6">
        <w:rPr>
          <w:rFonts w:ascii="Times New Roman" w:hAnsi="Times New Roman" w:cs="Times New Roman"/>
          <w:noProof/>
          <w:sz w:val="24"/>
          <w:szCs w:val="24"/>
        </w:rPr>
        <w:t>and</w:t>
      </w:r>
      <w:r w:rsidRPr="007C17A6">
        <w:rPr>
          <w:rFonts w:ascii="Times New Roman" w:hAnsi="Times New Roman" w:cs="Times New Roman"/>
          <w:sz w:val="24"/>
          <w:szCs w:val="24"/>
        </w:rPr>
        <w:t xml:space="preserve"> FP: Supervised the study and contributed to paper writing.</w:t>
      </w:r>
    </w:p>
    <w:p w14:paraId="78C0242E" w14:textId="77777777" w:rsidR="00434532" w:rsidRPr="007C17A6" w:rsidRDefault="00434532" w:rsidP="000C076A">
      <w:pPr>
        <w:spacing w:before="120" w:after="120" w:line="240" w:lineRule="auto"/>
        <w:jc w:val="both"/>
        <w:rPr>
          <w:rFonts w:ascii="Times New Roman" w:hAnsi="Times New Roman" w:cs="Times New Roman"/>
          <w:b/>
          <w:sz w:val="24"/>
          <w:szCs w:val="24"/>
          <w:lang w:val="en-GB"/>
        </w:rPr>
      </w:pPr>
      <w:r w:rsidRPr="007C17A6">
        <w:rPr>
          <w:rFonts w:ascii="Times New Roman" w:hAnsi="Times New Roman" w:cs="Times New Roman"/>
          <w:b/>
          <w:sz w:val="24"/>
          <w:szCs w:val="24"/>
          <w:lang w:val="en-GB"/>
        </w:rPr>
        <w:t>Conflicts of interest</w:t>
      </w:r>
    </w:p>
    <w:p w14:paraId="629457F1" w14:textId="7E04581E" w:rsidR="00B30D84" w:rsidRPr="007C17A6" w:rsidRDefault="00434532" w:rsidP="000C076A">
      <w:pPr>
        <w:spacing w:before="120" w:after="120" w:line="240" w:lineRule="auto"/>
        <w:jc w:val="both"/>
        <w:rPr>
          <w:rFonts w:ascii="Times New Roman" w:hAnsi="Times New Roman" w:cs="Times New Roman"/>
          <w:sz w:val="24"/>
          <w:szCs w:val="24"/>
          <w:lang w:val="en-GB"/>
        </w:rPr>
      </w:pPr>
      <w:r w:rsidRPr="007C17A6">
        <w:rPr>
          <w:rFonts w:ascii="Times New Roman" w:hAnsi="Times New Roman" w:cs="Times New Roman"/>
          <w:sz w:val="24"/>
          <w:szCs w:val="24"/>
          <w:lang w:val="en-GB"/>
        </w:rPr>
        <w:t xml:space="preserve">The authors declare no competing financial interests. </w:t>
      </w:r>
    </w:p>
    <w:p w14:paraId="5F6BAFD3" w14:textId="77777777" w:rsidR="00A838DC" w:rsidRPr="007C17A6" w:rsidRDefault="00E5421A" w:rsidP="00D050D1">
      <w:pPr>
        <w:widowControl w:val="0"/>
        <w:spacing w:after="120" w:line="240" w:lineRule="auto"/>
        <w:rPr>
          <w:rFonts w:ascii="Times New Roman" w:hAnsi="Times New Roman" w:cs="Times New Roman"/>
          <w:b/>
          <w:noProof/>
          <w:sz w:val="24"/>
          <w:szCs w:val="24"/>
        </w:rPr>
      </w:pPr>
      <w:r w:rsidRPr="007C17A6">
        <w:rPr>
          <w:rFonts w:ascii="Times New Roman" w:hAnsi="Times New Roman" w:cs="Times New Roman"/>
          <w:b/>
          <w:noProof/>
          <w:sz w:val="24"/>
          <w:szCs w:val="24"/>
        </w:rPr>
        <w:lastRenderedPageBreak/>
        <w:t>References</w:t>
      </w:r>
    </w:p>
    <w:p w14:paraId="23095FF6" w14:textId="21600909" w:rsidR="007F4106" w:rsidRPr="007C17A6" w:rsidRDefault="00E5421A"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szCs w:val="24"/>
        </w:rPr>
        <w:fldChar w:fldCharType="begin" w:fldLock="1"/>
      </w:r>
      <w:r w:rsidRPr="007C17A6">
        <w:rPr>
          <w:rFonts w:ascii="Times New Roman" w:hAnsi="Times New Roman" w:cs="Times New Roman"/>
          <w:noProof/>
          <w:sz w:val="24"/>
          <w:szCs w:val="24"/>
        </w:rPr>
        <w:instrText>ADDIN Mendeley Bibliography CSL_BIBLIOGRAPHY</w:instrText>
      </w:r>
      <w:r w:rsidRPr="007C17A6">
        <w:rPr>
          <w:rFonts w:ascii="Times New Roman" w:hAnsi="Times New Roman" w:cs="Times New Roman"/>
          <w:noProof/>
          <w:sz w:val="24"/>
          <w:szCs w:val="24"/>
        </w:rPr>
        <w:fldChar w:fldCharType="separate"/>
      </w:r>
      <w:r w:rsidR="007F4106" w:rsidRPr="007C17A6">
        <w:rPr>
          <w:rFonts w:ascii="Times New Roman" w:hAnsi="Times New Roman" w:cs="Times New Roman"/>
          <w:noProof/>
          <w:sz w:val="24"/>
        </w:rPr>
        <w:t>Amir, Y., Harel, M., Malach, R., 1993. Cortical hierarchy reflected in the organization of intrinsic connections in macaque monkey visual cortex. J. Comp. Neurol. 334, 19–46. doi:10.1002/cne.903340103</w:t>
      </w:r>
    </w:p>
    <w:p w14:paraId="39B326A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Arikuni, T., Watanabe, K., Kubota, K., 1988. Connections of area 8 with area 6 in the brain of the macaque monkey. J. Comp. Neurol. 277, 21–40. doi:10.1002/cne.902770103</w:t>
      </w:r>
    </w:p>
    <w:p w14:paraId="28DE96AE"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Artola, A., Bröcher, S., Singer, W., 1990. Different voltage-dependent thresholds for inducing long-term depression and long-term potentiation in slices of rat visual cortex. Nature 347, 69–72. doi:10.1038/347069a0</w:t>
      </w:r>
    </w:p>
    <w:p w14:paraId="7E476C05"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Artola, A., Singer, W., 1993. Long-Term depression of excitatory synaptic transmission and its relationship to long-term potentiation. Trends Neurosci. 16, 480–487.</w:t>
      </w:r>
    </w:p>
    <w:p w14:paraId="150801B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Barsalou, L.W., 2008. Grounded cognition. Annu. Rev. Psychol. </w:t>
      </w:r>
      <w:r w:rsidRPr="007C17A6">
        <w:rPr>
          <w:rFonts w:ascii="Times New Roman" w:hAnsi="Times New Roman" w:cs="Times New Roman"/>
          <w:noProof/>
          <w:sz w:val="24"/>
          <w:lang w:val="de-DE"/>
        </w:rPr>
        <w:t>59, 617–645. doi:10.1146/annurev.psych.59.103006.093639</w:t>
      </w:r>
    </w:p>
    <w:p w14:paraId="6F3693BB"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Bauer, R.H., Fuster, J.M., 1978. </w:t>
      </w:r>
      <w:r w:rsidRPr="007C17A6">
        <w:rPr>
          <w:rFonts w:ascii="Times New Roman" w:hAnsi="Times New Roman" w:cs="Times New Roman"/>
          <w:noProof/>
          <w:sz w:val="24"/>
        </w:rPr>
        <w:t>The effect of ambient illumination on delayed-matching and delayed-response deficits from cooling dorsolateral prefrontal cortex. Behav. Biol. 22, 60–66. doi:10.1016/S0091-6773(78)92019-9</w:t>
      </w:r>
    </w:p>
    <w:p w14:paraId="1BCE6D5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Bauer, R.H., Jones, C.N., 1976. Feedback training of 36-45 Hz EEG activity in the visual cortex and hippocampus of cats: evidence for sensory and motor involvement. Physiol. Behav. 17, 885–890.</w:t>
      </w:r>
    </w:p>
    <w:p w14:paraId="59464926"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Bibbig, A., Wennekers, T., Palm, G., 1995. A neural network model of the cortico-hippocampal interplay and the representation of contexts. Behav. Brain Res. 66, 169–175.</w:t>
      </w:r>
    </w:p>
    <w:p w14:paraId="787111C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Binder, J.R., Desai, R.H., 2011. The neurobiology of semantic memory. Trends Cogn. Sci. 15, 527–536. doi:10.1016/j.tics.2011.10.001</w:t>
      </w:r>
    </w:p>
    <w:p w14:paraId="24C379A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Binder, J.R., Desai, R.H., Graves, W.W., Conant, L.L., 2009. Where is the semantic system? A critical review and meta-analysis of 120 functional neuroimaging studies. Cereb. Cortex 19, 2767–2796. doi:10.1093/cercor/bhp055</w:t>
      </w:r>
    </w:p>
    <w:p w14:paraId="7A1FA3DB"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Bookheimer, S., 2002. Functional MRI of language: new approaches to understanding the cortical organization of semantic processing. Annu. Rev. Neurosci 25, 151–88. doi:10.1146/annurev.neuro.25.112701.142946</w:t>
      </w:r>
    </w:p>
    <w:p w14:paraId="2ADE09B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Braitenberg, V., 1978. Cell assemblies in the cerebral cortex, in: Heim, R., Palm, G. (Eds.), Theoretical Approaches to Complex Systems. Springer, Berlin, pp. 171–188.</w:t>
      </w:r>
    </w:p>
    <w:p w14:paraId="232850D5"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Braitenberg, V., Schüz, A., 1998. Cortex: statistics and geometry of neuronal connectivity. </w:t>
      </w:r>
      <w:r w:rsidRPr="007C17A6">
        <w:rPr>
          <w:rFonts w:ascii="Times New Roman" w:hAnsi="Times New Roman" w:cs="Times New Roman"/>
          <w:noProof/>
          <w:sz w:val="24"/>
          <w:lang w:val="de-DE"/>
        </w:rPr>
        <w:t>Springer, Berlin, pp. 135–137.</w:t>
      </w:r>
    </w:p>
    <w:p w14:paraId="5CB1C58E"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Bressler, S.L., Coppola, R., Nakamura, R., 1993. </w:t>
      </w:r>
      <w:r w:rsidRPr="007C17A6">
        <w:rPr>
          <w:rFonts w:ascii="Times New Roman" w:hAnsi="Times New Roman" w:cs="Times New Roman"/>
          <w:noProof/>
          <w:sz w:val="24"/>
        </w:rPr>
        <w:t>Episodic multiregional cortical coherence at multiple frequencies during visual task performance. Nature 366, 153–156. doi:10.1038/366153a0</w:t>
      </w:r>
    </w:p>
    <w:p w14:paraId="2AF4D20C"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Caramazza, A., Anzellotti, S., Strnad, L., Lingnau, A., 2014. Embodied cognition and mirror neurons: a critical assessment. </w:t>
      </w:r>
      <w:r w:rsidRPr="007C17A6">
        <w:rPr>
          <w:rFonts w:ascii="Times New Roman" w:hAnsi="Times New Roman" w:cs="Times New Roman"/>
          <w:noProof/>
          <w:sz w:val="24"/>
          <w:lang w:val="de-DE"/>
        </w:rPr>
        <w:t>Annu. Rev. Neurosci. 37, 1–15.</w:t>
      </w:r>
    </w:p>
    <w:p w14:paraId="0D2ADAB3"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es-ES"/>
        </w:rPr>
      </w:pPr>
      <w:r w:rsidRPr="007C17A6">
        <w:rPr>
          <w:rFonts w:ascii="Times New Roman" w:hAnsi="Times New Roman" w:cs="Times New Roman"/>
          <w:noProof/>
          <w:sz w:val="24"/>
          <w:lang w:val="de-DE"/>
        </w:rPr>
        <w:lastRenderedPageBreak/>
        <w:t xml:space="preserve">Carota, F., Kriegeskorte, N., Nili, H., Pulvermüller, F., 2017. </w:t>
      </w:r>
      <w:r w:rsidRPr="007C17A6">
        <w:rPr>
          <w:rFonts w:ascii="Times New Roman" w:hAnsi="Times New Roman" w:cs="Times New Roman"/>
          <w:noProof/>
          <w:sz w:val="24"/>
        </w:rPr>
        <w:t xml:space="preserve">Representational Similarity Mapping of Distributional Semantics in Left Inferior Frontal, Middle Temporal, and Motor Cortex. </w:t>
      </w:r>
      <w:r w:rsidRPr="007C17A6">
        <w:rPr>
          <w:rFonts w:ascii="Times New Roman" w:hAnsi="Times New Roman" w:cs="Times New Roman"/>
          <w:noProof/>
          <w:sz w:val="24"/>
          <w:lang w:val="es-ES"/>
        </w:rPr>
        <w:t>Cereb. Cortex. doi:10.1093/cercor/bhw379</w:t>
      </w:r>
    </w:p>
    <w:p w14:paraId="4014AB51"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es-ES"/>
        </w:rPr>
        <w:t xml:space="preserve">Catani, M., Jones, D.K., Donato, R., Ffytche, D.H., 2003. </w:t>
      </w:r>
      <w:r w:rsidRPr="007C17A6">
        <w:rPr>
          <w:rFonts w:ascii="Times New Roman" w:hAnsi="Times New Roman" w:cs="Times New Roman"/>
          <w:noProof/>
          <w:sz w:val="24"/>
        </w:rPr>
        <w:t>Occipito-temporal connections in the human brain. Brain 126, 2093–2107. doi:10.1093/brain/awg203</w:t>
      </w:r>
    </w:p>
    <w:p w14:paraId="73FD154B"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Catani, M., Jones, D.K., Ffytche, D.H., 2005. Perisylvian language networks of the human brain. Ann. Neurol. 57, 8–16. doi:10.1002/ana.20319</w:t>
      </w:r>
    </w:p>
    <w:p w14:paraId="4F26DA6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Chafee, M. V, Goldman-Rakic, P.S., 2000. Inactivation of parietal and prefrontal cortex reveals interdependence of neural activity during memory-guided saccades. J. Neurophysiol. 83, 1550–1566.</w:t>
      </w:r>
    </w:p>
    <w:p w14:paraId="20957A83"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Chao, L.L., Haxby, J. V, Martin, A., 1999. Attribute-based neural substrates in temporal cortex for perceiving and knowing about objects. Nat. Neurosci. 2, 913. doi:10.1038/13217</w:t>
      </w:r>
    </w:p>
    <w:p w14:paraId="2189A5F2"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Chen, L., Lambon Ralph, M.A., Rogers, T.T., 2017. A unified model of human semantic knowledge and its disorders. Nat. Hum. Behav. 1, 39. doi:10.1038/s41562-016-0039</w:t>
      </w:r>
    </w:p>
    <w:p w14:paraId="38AFEACA"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Christiansen, M.H., Chater, N., 2001. Connectionist psycholinguistics: Capturing the empirical data. Trends Cogn. Sci. 5, 82–88.</w:t>
      </w:r>
    </w:p>
    <w:p w14:paraId="4FCF11DC"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Connors, B.W., Gutnick, M.J., Prince, D.A., 1982. Electrophysiological properties of neocortical neurons in vitro. J. Neurophysiol. 48, 1302–1320.</w:t>
      </w:r>
    </w:p>
    <w:p w14:paraId="55ED13E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D’Esposito, M., 2007. From cognitive to neural models of working memory. Proc. R. Soc. London B Biol. Sci. 362, 761–772. doi:10.1098/rstb.2007.2086</w:t>
      </w:r>
    </w:p>
    <w:p w14:paraId="0320EC0C"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Damasio, A.R., 1989. Time-locked multiregional retroactivation: A systems-level proposal for the neural substrates of recall and recognition. Cognition 33, 25–62. doi:10.1016/0010-0277(89)90005-X</w:t>
      </w:r>
    </w:p>
    <w:p w14:paraId="210C3026"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Damasio, A.R., Tranel, D., 1993. Nouns and verbs are retrieved with differently distributed neural systems. Proc. Natl. Acad. Sci. U. S. A. 90, 4957–60. doi:10.1073/pnas.90.11.4957</w:t>
      </w:r>
    </w:p>
    <w:p w14:paraId="6B9FE69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Damasio, H., Grabowski, T.J., Tranel, D., Hichwa, R.D., Damasio, A.R., 1996. A neural basis for lexical retrieval. Nature 380, 499–505. doi:10.1038/380499a0</w:t>
      </w:r>
    </w:p>
    <w:p w14:paraId="705E15F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Deacon, T.W., 1992. Cortical connections of the inferior arcuate sulcus cortex in the macaque brain. Brain Res. 573, 8–26. doi:10.1016/0006-8993(92)90109-M</w:t>
      </w:r>
    </w:p>
    <w:p w14:paraId="647D2F71"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Dehaene, S., 1995. Electrophysiological evidence for category-specific word processing in the normal human brain. Neuroreport 6, 2153–7. doi:10.1097/00001756-199511000-00014</w:t>
      </w:r>
    </w:p>
    <w:p w14:paraId="3192015B"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Deiber, M.P., Passingham, R.E., Colebatch, J.G., Friston, K.J., Nixon, P.D., Frackowiak, R.S.J., 1991. Cortical areas and the selection of movement: a study with positron emission tomography. Exp. Brain Res. 84, 393–402. doi:10.1007/BF00231461</w:t>
      </w:r>
    </w:p>
    <w:p w14:paraId="494ACAD6"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Dell, G.S., Chang, F., Griffiths, Z.M., 1999. Connectionist models of language production: lexical access and grammatical encoding. Cogn. Sci. 23, 517–542. doi:10.1016/S0364-0213(99)00014-2</w:t>
      </w:r>
    </w:p>
    <w:p w14:paraId="5554583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 xml:space="preserve">Distler, C., Boussaoud, D., Desimone, R., Ungerleider, L.G., 1993. Cortical connections of </w:t>
      </w:r>
      <w:r w:rsidRPr="007C17A6">
        <w:rPr>
          <w:rFonts w:ascii="Times New Roman" w:hAnsi="Times New Roman" w:cs="Times New Roman"/>
          <w:noProof/>
          <w:sz w:val="24"/>
        </w:rPr>
        <w:lastRenderedPageBreak/>
        <w:t>inferior temporal area TEO in macaque monkeys. J. Comp. Neurol. 334, 125–150. doi:10.1002/cne.903340111</w:t>
      </w:r>
    </w:p>
    <w:p w14:paraId="1FC94C70"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Douglas, R.J., Martin, K.A.C., 2004. Neuronal Circuits of the Neocortex. Annu. Rev. Neurosci. 27, 419–451. doi:10.1146/annurev.neuro.27.070203.144152</w:t>
      </w:r>
    </w:p>
    <w:p w14:paraId="0886345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Doursat, R., Bienenstock, E., 2006. Neocortical self-structuration as a basis for learning. 5th International conference on development and learning (ICDL) 2006. Indiana University, Bloomington, Indiana.</w:t>
      </w:r>
    </w:p>
    <w:p w14:paraId="1F92A44E"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Dreyer, F.R., Frey, D., Arana, S., Saldern, S. von, Picht, T., Vajkoczy, P., Pulvermüller, F., 2015. </w:t>
      </w:r>
      <w:r w:rsidRPr="007C17A6">
        <w:rPr>
          <w:rFonts w:ascii="Times New Roman" w:hAnsi="Times New Roman" w:cs="Times New Roman"/>
          <w:noProof/>
          <w:sz w:val="24"/>
        </w:rPr>
        <w:t>Is the motor system necessary for processing action and abstract emotion words? Evidence from focal brain lesions. Front. Psychol. 6, 242. doi:10.3389/fpsyg.2015.01661</w:t>
      </w:r>
    </w:p>
    <w:p w14:paraId="57B60EB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Dum, R.P., Strick, P.L., 2005. Frontal lobe inputs to the digit representations of the motor areas on the lateral surface of the hemisphere. J. Neurosci. 25, 1375–1386. doi:10.1523/JNEUROSCI.3902-04.2005</w:t>
      </w:r>
    </w:p>
    <w:p w14:paraId="7E6050A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Dum, R.P., Strick, P.L., 2002. Motor areas in the frontal lobe of the primate. Physiol. Behav. 77, 677–682.</w:t>
      </w:r>
    </w:p>
    <w:p w14:paraId="500341BB"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Duncan, J., 2006. EPS Mid-Career Award 2004: brain mechanisms of attention. Q. J. Exp. Psychol. (Hove). 59, 2–27. doi:10.1080/17470210500260674</w:t>
      </w:r>
    </w:p>
    <w:p w14:paraId="27FD70C9"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Duncan, J., 1996. Competitive brain systems in selective attention. Int. J. Psychol. 31, 3343.</w:t>
      </w:r>
    </w:p>
    <w:p w14:paraId="40DC9E4B"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Eacott, M.J., Gaffan, D., 1992. Inferotemporal-frontal disconnection: The uncinate fascicle and visual associative learning in monkeys. </w:t>
      </w:r>
      <w:r w:rsidRPr="007C17A6">
        <w:rPr>
          <w:rFonts w:ascii="Times New Roman" w:hAnsi="Times New Roman" w:cs="Times New Roman"/>
          <w:noProof/>
          <w:sz w:val="24"/>
          <w:lang w:val="de-DE"/>
        </w:rPr>
        <w:t>Eur. J. Neurosci. 4, 1320–1332. doi:10.1111/j.1460-9568.1992.tb00157.x</w:t>
      </w:r>
    </w:p>
    <w:p w14:paraId="6AB183D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Eggert, J., van Hemmen, J.L., 2000. </w:t>
      </w:r>
      <w:r w:rsidRPr="007C17A6">
        <w:rPr>
          <w:rFonts w:ascii="Times New Roman" w:hAnsi="Times New Roman" w:cs="Times New Roman"/>
          <w:noProof/>
          <w:sz w:val="24"/>
        </w:rPr>
        <w:t>Unifying framework for neuronal assembly dynamics. Phys. Rev. E. Stat. Phys. Plasmas. Fluids. Relat. Interdiscip. Topics 61, 1855–1874. doi:10.1103/PhysRevE.61.1855</w:t>
      </w:r>
    </w:p>
    <w:p w14:paraId="371B3B0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es-ES"/>
        </w:rPr>
        <w:t xml:space="preserve">Fadiga, L., Craighero, L., Buccino, G., Rizzolatti, G., 2002. </w:t>
      </w:r>
      <w:r w:rsidRPr="007C17A6">
        <w:rPr>
          <w:rFonts w:ascii="Times New Roman" w:hAnsi="Times New Roman" w:cs="Times New Roman"/>
          <w:noProof/>
          <w:sz w:val="24"/>
        </w:rPr>
        <w:t>Speech listening specifically modulates the excitability of tongue muscles: A TMS study. Eur. J. Neurosci. 15, 399–402. doi:10.1046/j.0953-816x.2001.01874.x</w:t>
      </w:r>
    </w:p>
    <w:p w14:paraId="2AB43B4F"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Finnie, P.S.B., Nader, K., 2012. The role of metaplasticity mechanisms in regulating memory destabilization and reconsolidation. Neurosci. Biobehav. Rev. 36, 1667–1707. doi:10.1016/j.neubiorev.2012.03.008</w:t>
      </w:r>
    </w:p>
    <w:p w14:paraId="5F540F4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Fuster, J.M., 2009. Cortex and memory: emergence of a new paradigm. J. Cogn. Neurosci. 21, 2047–2072. doi:10.1162/jocn.2009.21280</w:t>
      </w:r>
    </w:p>
    <w:p w14:paraId="36DAFEDF"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Fuster, J.M., 2003. Cortex and mind: Unifying cognition. Oxford university press.</w:t>
      </w:r>
    </w:p>
    <w:p w14:paraId="0A706FF5"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Fuster, J.M., Bauer, R.H., Jervey, J.P., 1985. Functional interactions between inferotemporal and prefrontal cortex in a cognitive task. Brain Res. 330, 299–307.</w:t>
      </w:r>
    </w:p>
    <w:p w14:paraId="1683AD4C"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Fuster, J.M., Jervey, J.P., 1981. Inferotemporal neurons distinguish and retain behaviorally relevant features of visual stimuli. Science 212, 952–955. doi:10.1126/science.7233192</w:t>
      </w:r>
    </w:p>
    <w:p w14:paraId="549C054A"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es-ES"/>
        </w:rPr>
      </w:pPr>
      <w:r w:rsidRPr="007C17A6">
        <w:rPr>
          <w:rFonts w:ascii="Times New Roman" w:hAnsi="Times New Roman" w:cs="Times New Roman"/>
          <w:noProof/>
          <w:sz w:val="24"/>
        </w:rPr>
        <w:t xml:space="preserve">Gainotti, G., 2012. The format of conceptual representations disrupted in semantic dementia: A </w:t>
      </w:r>
      <w:r w:rsidRPr="007C17A6">
        <w:rPr>
          <w:rFonts w:ascii="Times New Roman" w:hAnsi="Times New Roman" w:cs="Times New Roman"/>
          <w:noProof/>
          <w:sz w:val="24"/>
        </w:rPr>
        <w:lastRenderedPageBreak/>
        <w:t xml:space="preserve">position paper. </w:t>
      </w:r>
      <w:r w:rsidRPr="007C17A6">
        <w:rPr>
          <w:rFonts w:ascii="Times New Roman" w:hAnsi="Times New Roman" w:cs="Times New Roman"/>
          <w:noProof/>
          <w:sz w:val="24"/>
          <w:lang w:val="es-ES"/>
        </w:rPr>
        <w:t>Cortex 48, 521–529. doi:http://dx.doi.org/10.1016/j.cortex.2011.06.019</w:t>
      </w:r>
    </w:p>
    <w:p w14:paraId="0083C912"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es-ES"/>
        </w:rPr>
        <w:t xml:space="preserve">Gainotti, G., 2010. </w:t>
      </w:r>
      <w:r w:rsidRPr="007C17A6">
        <w:rPr>
          <w:rFonts w:ascii="Times New Roman" w:hAnsi="Times New Roman" w:cs="Times New Roman"/>
          <w:noProof/>
          <w:sz w:val="24"/>
        </w:rPr>
        <w:t>The influence of anatomical locus of lesion and of gender-related familiarity factors in category-specific semantic disorders for animals, fruits and vegetables: A review of single-case studies. Cortex 46, 1072–1087. doi:10.1016/j.cortex.2010.04.002</w:t>
      </w:r>
    </w:p>
    <w:p w14:paraId="5AC55B3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Garagnani, M., Lucchese, G., Tomasello, R., Wennekers, T., Pulvermüller, F., 2017. A Spiking Neurocomputational Model of High-Frequency Oscillatory Brain Responses to Words and Pseudowords. Front. Comput. Neurosci. 10, 1–19. doi:10.3389/fncom.2016.00145</w:t>
      </w:r>
    </w:p>
    <w:p w14:paraId="6048C56A"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Garagnani, M., Pulvermüller, F., 2016. Conceptual grounding of language in action and perception: A neurocomputational model of the emergence of category specificity and semantic hubs. Eur. J. Neurosci. 43, 721–737. doi:10.1111/ejn.13145</w:t>
      </w:r>
    </w:p>
    <w:p w14:paraId="62CA4B8C"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Garagnani, M., Pulvermüller, F., 2011. From sounds to words: A neurocomputational model of adaptation, inhibition and memory processes in auditory change detection. </w:t>
      </w:r>
      <w:r w:rsidRPr="007C17A6">
        <w:rPr>
          <w:rFonts w:ascii="Times New Roman" w:hAnsi="Times New Roman" w:cs="Times New Roman"/>
          <w:noProof/>
          <w:sz w:val="24"/>
          <w:lang w:val="de-DE"/>
        </w:rPr>
        <w:t>Neuroimage 54, 170–181. doi:10.1016/j.neuroimage.2010.08.031</w:t>
      </w:r>
    </w:p>
    <w:p w14:paraId="05C1241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Garagnani, M., Wennekers, T., Pulvermüller, F., 2009. </w:t>
      </w:r>
      <w:r w:rsidRPr="007C17A6">
        <w:rPr>
          <w:rFonts w:ascii="Times New Roman" w:hAnsi="Times New Roman" w:cs="Times New Roman"/>
          <w:noProof/>
          <w:sz w:val="24"/>
        </w:rPr>
        <w:t>Recruitment and consolidation of cell assemblies for words by way of hebbian learning and competition in a multi-layer neural network. Cognit. Comput. 1, 160–176. doi:10.1007/s12559-009-9011-1</w:t>
      </w:r>
    </w:p>
    <w:p w14:paraId="5D930F60"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Garagnani, M., Wennekers, T., Pulvermüller, F., 2008. A neuroanatomically grounded Hebbian-learning model of attention-language interactions in the human brain. </w:t>
      </w:r>
      <w:r w:rsidRPr="007C17A6">
        <w:rPr>
          <w:rFonts w:ascii="Times New Roman" w:hAnsi="Times New Roman" w:cs="Times New Roman"/>
          <w:noProof/>
          <w:sz w:val="24"/>
          <w:lang w:val="de-DE"/>
        </w:rPr>
        <w:t>Eur. J. Neurosci. 27, 492–513. doi:10.1111/j.1460-9568.2008.06015.x</w:t>
      </w:r>
    </w:p>
    <w:p w14:paraId="6DC1C17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Garagnani, M., Wennekers, T., Pulvermüller, F., 2007. </w:t>
      </w:r>
      <w:r w:rsidRPr="007C17A6">
        <w:rPr>
          <w:rFonts w:ascii="Times New Roman" w:hAnsi="Times New Roman" w:cs="Times New Roman"/>
          <w:noProof/>
          <w:sz w:val="24"/>
        </w:rPr>
        <w:t>A neuronal model of the language cortex. Neurocomputing 70, 1914–1919. doi:10.1016/j.neucom.2006.10.076</w:t>
      </w:r>
    </w:p>
    <w:p w14:paraId="3D281281"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Gierhan, S.M.E., 2013. Connections for auditory language in the human brain. </w:t>
      </w:r>
      <w:r w:rsidRPr="007C17A6">
        <w:rPr>
          <w:rFonts w:ascii="Times New Roman" w:hAnsi="Times New Roman" w:cs="Times New Roman"/>
          <w:noProof/>
          <w:sz w:val="24"/>
          <w:lang w:val="de-DE"/>
        </w:rPr>
        <w:t>Brain Lang. 127, 205–221. doi:10.1016/j.bandl.2012.11.002</w:t>
      </w:r>
    </w:p>
    <w:p w14:paraId="455AA6B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Grisoni, L., Dreyer, F.R., Pulvermüller, F., 2016. </w:t>
      </w:r>
      <w:r w:rsidRPr="007C17A6">
        <w:rPr>
          <w:rFonts w:ascii="Times New Roman" w:hAnsi="Times New Roman" w:cs="Times New Roman"/>
          <w:noProof/>
          <w:sz w:val="24"/>
        </w:rPr>
        <w:t>Somatotopic Semantic Priming and Prediction in the Motor System. Cereb. Cortex 26, 2353–2366. doi:10.1093/cercor/bhw026</w:t>
      </w:r>
    </w:p>
    <w:p w14:paraId="41BAC21A"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Guenther, F.H., Ghosh, S.S., Tourville, J.A., 2006. Neural modeling and imaging of the cortical interactions underlying syllable production. Brain Lang. 96, 280–301. doi:10.1016/j.bandl.2005.06.001</w:t>
      </w:r>
    </w:p>
    <w:p w14:paraId="34B53072"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Guye, M., Parker, G.J.M., Symms, M., Boulby, P., Wheeler-Kingshott, C.A.M., Salek-Haddadi, A., Barker, G.J., Duncan, J.S., 2003. Combined functional MRI and tractography to demonstrate the connectivity of the human primary motor cortex in vivo. Neuroimage 19, 1349–1360. doi:10.1016/S1053-8119(03)00165-4</w:t>
      </w:r>
    </w:p>
    <w:p w14:paraId="2610467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Harnad, S., 2012. From sensorimotor categories and pantomime to grounded symbols and propositions. Oxford Univ. Press.</w:t>
      </w:r>
    </w:p>
    <w:p w14:paraId="596B9D1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Harnad, S., 1990. the Symbol Grounding Problem. Phys. </w:t>
      </w:r>
      <w:r w:rsidRPr="007C17A6">
        <w:rPr>
          <w:rFonts w:ascii="Times New Roman" w:hAnsi="Times New Roman" w:cs="Times New Roman"/>
          <w:noProof/>
          <w:sz w:val="24"/>
          <w:lang w:val="de-DE"/>
        </w:rPr>
        <w:t>D 42, 335–346.</w:t>
      </w:r>
    </w:p>
    <w:p w14:paraId="10766A1A"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Hauk, O., Johnsrude, I., Pulvermüller, F., 2004. </w:t>
      </w:r>
      <w:r w:rsidRPr="007C17A6">
        <w:rPr>
          <w:rFonts w:ascii="Times New Roman" w:hAnsi="Times New Roman" w:cs="Times New Roman"/>
          <w:noProof/>
          <w:sz w:val="24"/>
        </w:rPr>
        <w:t>Somatotopic representations of action words in human motor and premotor cortex. Neuron 41, 301–307.</w:t>
      </w:r>
    </w:p>
    <w:p w14:paraId="29D12CC1"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es-ES"/>
        </w:rPr>
      </w:pPr>
      <w:r w:rsidRPr="007C17A6">
        <w:rPr>
          <w:rFonts w:ascii="Times New Roman" w:hAnsi="Times New Roman" w:cs="Times New Roman"/>
          <w:noProof/>
          <w:sz w:val="24"/>
        </w:rPr>
        <w:t xml:space="preserve">Izhikevich, E.M., Edelman, G., 2008. Large-scale model of mammalian thalamocortical systems. </w:t>
      </w:r>
      <w:r w:rsidRPr="007C17A6">
        <w:rPr>
          <w:rFonts w:ascii="Times New Roman" w:hAnsi="Times New Roman" w:cs="Times New Roman"/>
          <w:noProof/>
          <w:sz w:val="24"/>
          <w:lang w:val="es-ES"/>
        </w:rPr>
        <w:lastRenderedPageBreak/>
        <w:t>Proc. Natl. Acad. Sci. USA 105, 3593–3598. doi:10.1073/pnas.0712231105</w:t>
      </w:r>
    </w:p>
    <w:p w14:paraId="58AEC2A0"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es-ES"/>
        </w:rPr>
        <w:t xml:space="preserve">Kaas, J.H., 1997. </w:t>
      </w:r>
      <w:r w:rsidRPr="007C17A6">
        <w:rPr>
          <w:rFonts w:ascii="Times New Roman" w:hAnsi="Times New Roman" w:cs="Times New Roman"/>
          <w:noProof/>
          <w:sz w:val="24"/>
        </w:rPr>
        <w:t>Topographic Maps are Fundamental to Sensory Processing. Brain Res. Bull. 44, 107–112. doi:http://dx.doi.org/10.1016/S0361-9230(97)00094-4</w:t>
      </w:r>
    </w:p>
    <w:p w14:paraId="436D5E26"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Kaas, J.H., Hackett, T.A., 2000. Subdivisions of auditory cortex and processing streams in primates. Proc. Natl. Acad. Sci. U. S. A. 97, 11793–9. doi:10.1073/pnas.97.22.11793</w:t>
      </w:r>
    </w:p>
    <w:p w14:paraId="55C1B27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Kandel, E.R., Schwartz, J.H., Jessell, T.M., 2000. Principles of neural science. McGraw-hill New York.</w:t>
      </w:r>
    </w:p>
    <w:p w14:paraId="02E87732"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Kemmerer, D., 2015. Are the motor features of verb meanings represented in the precentral motor cortices? Yes, but within the context of a flexible, multilevel architecture for conceptual knowledge. </w:t>
      </w:r>
      <w:r w:rsidRPr="007C17A6">
        <w:rPr>
          <w:rFonts w:ascii="Times New Roman" w:hAnsi="Times New Roman" w:cs="Times New Roman"/>
          <w:noProof/>
          <w:sz w:val="24"/>
          <w:lang w:val="de-DE"/>
        </w:rPr>
        <w:t>Psychon. Bull. Rev. 22, 1068–1075. doi:10.3758/s13423-014-0784-1</w:t>
      </w:r>
    </w:p>
    <w:p w14:paraId="2B316539"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Kemmerer, D., Rudrauf, D., Manzel, K., Tranel, D., 2012. </w:t>
      </w:r>
      <w:r w:rsidRPr="007C17A6">
        <w:rPr>
          <w:rFonts w:ascii="Times New Roman" w:hAnsi="Times New Roman" w:cs="Times New Roman"/>
          <w:noProof/>
          <w:sz w:val="24"/>
        </w:rPr>
        <w:t>Behavioral patterns and lesion sites associated with impaired processing of lexical and conceptual knowledge of actions. Cortex 48, 826–848. doi:10.1016/j.cortex.2010.11.001</w:t>
      </w:r>
    </w:p>
    <w:p w14:paraId="21050E0F"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Kiefer, M., Pulvermüller, F., 2012. Conceptual representations in mind and brain: Theoretical developments, current evidence and future directions. Cortex 48, 805–825. doi:10.1016/j.cortex.2011.04.006</w:t>
      </w:r>
    </w:p>
    <w:p w14:paraId="59F9117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Lu, M.T., Preston, J.B., Strick, P.L., 1994. Interconnections between the prefrontal cortex and the premotor areas in the frontal lobe. J. Comp. Neurol. 341, 375–392. doi:10.1002/cne.903410308</w:t>
      </w:r>
    </w:p>
    <w:p w14:paraId="431FEF0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Machery, E., 2007. Concept empiricism: A methodological critique. Cognition 104, 19–46.</w:t>
      </w:r>
    </w:p>
    <w:p w14:paraId="3B21AF7E"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Mahon, B.Z., Caramazza, A., 2008. A critical look at the embodied cognition hypothesis and a new proposal for grounding conceptual content. J. Physiol. Paris 102, 59–70. doi:10.1016/j.jphysparis.2008.03.004</w:t>
      </w:r>
    </w:p>
    <w:p w14:paraId="16564759"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Makris, N., Pandya, D.N., 2009. The extreme capsule in humans and rethinking of the language circuitry. Brain Struct. Funct. 213, 343–358. doi:10.1007/s00429-008-0199-8</w:t>
      </w:r>
    </w:p>
    <w:p w14:paraId="06FBDB41"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Malenka, R.C., Bear, M.F., 2004. LTP and LTD: An embarrassment of riches. Neuron 44, 5–21.</w:t>
      </w:r>
    </w:p>
    <w:p w14:paraId="07170FC1"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Markram, H., Meier, K., Lippert, T., Grillner, S., Frackowiak, R., Dehaene, S., Knoll, A., Sompolinsky, H., Verstreken, K., DeFelipe, J., Grant, S., Changeux, J.P., Sariam, A., 2011. Introducing the Human Brain Project. Procedia Comput. Sci. 7, 39–42. doi:10.1016/j.procs.2011.12.015</w:t>
      </w:r>
    </w:p>
    <w:p w14:paraId="1AC40900"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Martin, A., 2007. The Representation of Object Concepts in the Brain. </w:t>
      </w:r>
      <w:r w:rsidRPr="007C17A6">
        <w:rPr>
          <w:rFonts w:ascii="Times New Roman" w:hAnsi="Times New Roman" w:cs="Times New Roman"/>
          <w:noProof/>
          <w:sz w:val="24"/>
          <w:lang w:val="de-DE"/>
        </w:rPr>
        <w:t>Annu. Rev. Psychol. 58, 25–45. doi:10.1146/annurev.psych.57.102904.190143</w:t>
      </w:r>
    </w:p>
    <w:p w14:paraId="6D9A0D1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Martin, A., Wiggs, C.L., Ungerleider, L.G., Haxby, J.V., 1996. </w:t>
      </w:r>
      <w:r w:rsidRPr="007C17A6">
        <w:rPr>
          <w:rFonts w:ascii="Times New Roman" w:hAnsi="Times New Roman" w:cs="Times New Roman"/>
          <w:noProof/>
          <w:sz w:val="24"/>
        </w:rPr>
        <w:t>Neural correlates of category-specific knowledge. Nature 379, 649–652. doi:10.1038/379649a0</w:t>
      </w:r>
    </w:p>
    <w:p w14:paraId="49F4AE6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Matthews, G.G., 2001. Neurobiology: Molecules, Cells, and Systems, Blackwell Science.</w:t>
      </w:r>
    </w:p>
    <w:p w14:paraId="4AD476AB"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Mazzoni, P., Andersen, R.A., Jordan, M.I., 1991. A more biologically plausible learning rule for neural networks. Proc. Natl. Acad. Sci. 88, 4433–4437.</w:t>
      </w:r>
    </w:p>
    <w:p w14:paraId="53D96D9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lastRenderedPageBreak/>
        <w:t>McCarthy, R.A., Warrington, E.K., 1988. Evidence for modality-specific meaning systems in the brain. Nature 334, 428–430. doi:10.1038/334428a0</w:t>
      </w:r>
    </w:p>
    <w:p w14:paraId="574F04AA"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Meyer, J.W., Makris, N., Bates, J.F., Caviness, V.S., Kennedy, D.N., 1999. MRI-Based topographic parcellation of human cerebral white matter. Neuroimage 9, 1–17. doi:S1053811998903834 [pii]</w:t>
      </w:r>
    </w:p>
    <w:p w14:paraId="0D72C56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lang w:val="de-DE"/>
        </w:rPr>
        <w:t xml:space="preserve">Mishkin, M., Ungerleider, L.G., 1982. </w:t>
      </w:r>
      <w:r w:rsidRPr="007C17A6">
        <w:rPr>
          <w:rFonts w:ascii="Times New Roman" w:hAnsi="Times New Roman" w:cs="Times New Roman"/>
          <w:noProof/>
          <w:sz w:val="24"/>
        </w:rPr>
        <w:t xml:space="preserve">Contribution of striate input to the visuospatial functions of parieto-preoccipital cortx in monkeys . </w:t>
      </w:r>
      <w:r w:rsidRPr="007C17A6">
        <w:rPr>
          <w:rFonts w:ascii="Times New Roman" w:hAnsi="Times New Roman" w:cs="Times New Roman"/>
          <w:noProof/>
          <w:sz w:val="24"/>
          <w:lang w:val="de-DE"/>
        </w:rPr>
        <w:t>Behav. Brain Res. 6, 57–77.</w:t>
      </w:r>
    </w:p>
    <w:p w14:paraId="070CAE02"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Mishkin, M., Ungerleider, L.G., Macko, K. a, 1983. </w:t>
      </w:r>
      <w:r w:rsidRPr="007C17A6">
        <w:rPr>
          <w:rFonts w:ascii="Times New Roman" w:hAnsi="Times New Roman" w:cs="Times New Roman"/>
          <w:noProof/>
          <w:sz w:val="24"/>
        </w:rPr>
        <w:t>Object vision and spatial vision: Two central pathways. Trends Neurosci. 6, 414–417. doi:Doi 10.1016/0166-2236(83)90190-X</w:t>
      </w:r>
    </w:p>
    <w:p w14:paraId="0C7C3A2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Moseley, R.L., Pulvermüller, F., 2014. Nouns, verbs, objects, actions, and abstractions: Local fMRI activity indexes semantics, not lexical categories. Brain Lang. 132, 28–42. doi:10.1016/j.bandl.2014.03.001</w:t>
      </w:r>
    </w:p>
    <w:p w14:paraId="14D093B6"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Moseley, R.L., Pulvermüller, F., Shtyrov, Y., 2013. Sensorimotor semantics on the spot: brain activity dissociates between conceptual categories within 150 ms. </w:t>
      </w:r>
      <w:r w:rsidRPr="007C17A6">
        <w:rPr>
          <w:rFonts w:ascii="Times New Roman" w:hAnsi="Times New Roman" w:cs="Times New Roman"/>
          <w:noProof/>
          <w:sz w:val="24"/>
          <w:lang w:val="de-DE"/>
        </w:rPr>
        <w:t>Sci. Rep. 3, 1928. doi:10.1038/srep01928</w:t>
      </w:r>
    </w:p>
    <w:p w14:paraId="20BF6BE9"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Musso, M., Weiller, C., Kiebel, S., Müller, S.P., Bülau, P., Rijntjes, M., 1999. </w:t>
      </w:r>
      <w:r w:rsidRPr="007C17A6">
        <w:rPr>
          <w:rFonts w:ascii="Times New Roman" w:hAnsi="Times New Roman" w:cs="Times New Roman"/>
          <w:noProof/>
          <w:sz w:val="24"/>
        </w:rPr>
        <w:t>Training-induced brain plasticity in aphasia. Brain 122, 1781–1790. doi:10.1093/brain/122.9.1781</w:t>
      </w:r>
    </w:p>
    <w:p w14:paraId="6A9B855C"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Neininger, B., Pulvermüller, F., 2003. Word-category specific deficits after lesions in the right hemisphere. Neuropsychologia 41, 53–70. doi:10.1016/S0028-3932(02)00126-4</w:t>
      </w:r>
    </w:p>
    <w:p w14:paraId="6B5811B5"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O’Reilly, R.C., 1998. Six principles for biologically based computational models of cortical cognition. Trends Cogn. Sci. 2, 455–462. doi:10.1016/S1364-6613(98)01241-8</w:t>
      </w:r>
    </w:p>
    <w:p w14:paraId="2CAC2D30"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Palm, G., 1982. Neural Assemblies. An Alternative Approach to Artificial Intelligence. Springer-Verlag New York, Inc., Secaucus, NJ, USA.</w:t>
      </w:r>
    </w:p>
    <w:p w14:paraId="644E5B95"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Pandya, D.N., 1995. Anatomy of the auditory cortex. Rev. Neurol. (Paris). 151, 486–494. doi:10.1016/B978-0-323-05283-2.00129-4</w:t>
      </w:r>
    </w:p>
    <w:p w14:paraId="2D1C587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Pandya, D.N., Barnes, C.L., 1987. Architecture and connections of the frontal lobe, in: Perecman, E. (Ed.), The Frontal Lobes Revisited. The IRBN Press, New York, pp. 41–72.</w:t>
      </w:r>
    </w:p>
    <w:p w14:paraId="337AB84E"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Pandya, D.N., Yeterian, E.H., 1985. Architecture and Connections of Cortical Association Areas, in: Peters, A., Jones, E. (Eds.), Association and Auditory Cortices SE  - 1, Cerebral Cortex. Springer US, pp. 3–61. doi:10.1007/978-1-4757-9619-3_1</w:t>
      </w:r>
    </w:p>
    <w:p w14:paraId="05FD517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Parker, A., 1998. Interaction of frontal and perirhinal cortices in visual object recognition memory in monkeys. Eur. J. Neurosci. 10, 3044–3057. doi:10.1046/j.1460-9568.1998.00306.x</w:t>
      </w:r>
    </w:p>
    <w:p w14:paraId="622B26DB"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Parker, G.J.M., Luzzi, S., Alexander, D.C., Wheeler-Kingshott, C.A.M., Ciccarelli, O., Lambon Ralph, M.A., 2005. Lateralization of ventral and dorsal auditory-language pathways in the human brain. Neuroimage 24, 656–666. doi:10.1016/j.neuroimage.2004.08.047</w:t>
      </w:r>
    </w:p>
    <w:p w14:paraId="2C7E9D9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es-ES"/>
        </w:rPr>
      </w:pPr>
      <w:r w:rsidRPr="007C17A6">
        <w:rPr>
          <w:rFonts w:ascii="Times New Roman" w:hAnsi="Times New Roman" w:cs="Times New Roman"/>
          <w:noProof/>
          <w:sz w:val="24"/>
        </w:rPr>
        <w:t xml:space="preserve">Patterson, K., Nestor, P.J., Rogers, T.T., 2007. Where do you know what you know? The representation of semantic knowledge in the human brain. Nat. Rev. Neurosci. </w:t>
      </w:r>
      <w:r w:rsidRPr="007C17A6">
        <w:rPr>
          <w:rFonts w:ascii="Times New Roman" w:hAnsi="Times New Roman" w:cs="Times New Roman"/>
          <w:noProof/>
          <w:sz w:val="24"/>
          <w:lang w:val="es-ES"/>
        </w:rPr>
        <w:t xml:space="preserve">8, 976–87. </w:t>
      </w:r>
      <w:r w:rsidRPr="007C17A6">
        <w:rPr>
          <w:rFonts w:ascii="Times New Roman" w:hAnsi="Times New Roman" w:cs="Times New Roman"/>
          <w:noProof/>
          <w:sz w:val="24"/>
          <w:lang w:val="es-ES"/>
        </w:rPr>
        <w:lastRenderedPageBreak/>
        <w:t>doi:10.1038/nrn2277</w:t>
      </w:r>
    </w:p>
    <w:p w14:paraId="1070714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es-ES"/>
        </w:rPr>
        <w:t xml:space="preserve">Paus, T., Castro-Alamancos, M.A., Petrides, M., 2001. </w:t>
      </w:r>
      <w:r w:rsidRPr="007C17A6">
        <w:rPr>
          <w:rFonts w:ascii="Times New Roman" w:hAnsi="Times New Roman" w:cs="Times New Roman"/>
          <w:noProof/>
          <w:sz w:val="24"/>
        </w:rPr>
        <w:t>Cortico-cortical connectivity of the human mid-dorsolateral frontal cortex and its modulation by repetitive transcranial magnetic stimulation. Eur. J. Neurosci. 14, 1405–1411. doi:10.1046/j.0953-816X.2001.01757.x</w:t>
      </w:r>
    </w:p>
    <w:p w14:paraId="44B5F526"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Petrides, M., Pandya, D.N., 2009. Distinct parietal and temporal pathways to the homologues of Broca’s area in the monkey. PLoS Biol. 7, e1000170. doi:10.1371/journal.pbio.1000170</w:t>
      </w:r>
    </w:p>
    <w:p w14:paraId="138A9C8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Plaut, D.C., Gonnerman, L.M., 2000. Are non-semantic morphological effects incompatible with a distributed connectionist approach to lexical processing? Lang. Cogn. Process. 15, 445–485. doi:10.1080/01690960050119661</w:t>
      </w:r>
    </w:p>
    <w:p w14:paraId="47A3CC32"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Posner, M.I., Pavese,  a, 1998. Anatomy of word and sentence meaning. Proc. Natl. Acad. Sci. U. S. A. 95, 899–905. doi:10.1073/pnas.95.3.899</w:t>
      </w:r>
    </w:p>
    <w:p w14:paraId="71DD7C3E"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Pulvermüller, F., 2018. Neural reuse of action perception circuits for language, concepts and communication. Prog. Neurobiol. 160, 1–44.</w:t>
      </w:r>
    </w:p>
    <w:p w14:paraId="58F44DCF"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Pulvermüller, F., 2013. How neurons make meaning: Brain mechanisms for embodied and abstract-symbolic semantics. Trends Cogn. Sci. 17, 458–470. doi:10.1016/j.tics.2013.06.004</w:t>
      </w:r>
    </w:p>
    <w:p w14:paraId="2F59DEA2"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Pulvermüller, F., 2010. Brain embodiment of syntax and grammar: Discrete combinatorial mechanisms spelt out in neuronal circuits. Brain Lang. 112, 167–179. doi:10.1016/j.bandl.2009.08.002</w:t>
      </w:r>
    </w:p>
    <w:p w14:paraId="25BEBDE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Pulvermüller, F., 1999. Words in the brain’s language. Behav. Brain Sci. 22, 253–336. doi:10.1017/S0140525X9900182X</w:t>
      </w:r>
    </w:p>
    <w:p w14:paraId="2188F51B"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Pulvermüller, F., Cooper-Pye, E., Dine, C., Hauk, O., Nestor, P.J., Patterson, K., 2010. The word processing deficit in semantic dementia: all categories are equal, but some categories are more equal than others. J. Cogn. Neurosci. 22, 2027–2041. doi:10.1162/jocn.2009.21339</w:t>
      </w:r>
    </w:p>
    <w:p w14:paraId="1E2FD5A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Pulvermüller, F., Fadiga, L., 2010. Active perception: sensorimotor circuits as a cortical basis for language. Nat. Rev. Neurosci. 11, 351–360. doi:10.1038/nrn2811</w:t>
      </w:r>
    </w:p>
    <w:p w14:paraId="2C23BD56"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Pulvermüller, F., Garagnani, M., 2014. From sensorimotor learning to memory cells in prefrontal and temporal association cortex: A neurocomputational study of disembodiment. </w:t>
      </w:r>
      <w:r w:rsidRPr="007C17A6">
        <w:rPr>
          <w:rFonts w:ascii="Times New Roman" w:hAnsi="Times New Roman" w:cs="Times New Roman"/>
          <w:noProof/>
          <w:sz w:val="24"/>
          <w:lang w:val="de-DE"/>
        </w:rPr>
        <w:t>Cortex 57, 1–21. doi:10.1016/j.cortex.2014.02.015</w:t>
      </w:r>
    </w:p>
    <w:p w14:paraId="72234E0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Pulvermüller, F., Lutzenberger, W., Preissl, H., 1999. </w:t>
      </w:r>
      <w:r w:rsidRPr="007C17A6">
        <w:rPr>
          <w:rFonts w:ascii="Times New Roman" w:hAnsi="Times New Roman" w:cs="Times New Roman"/>
          <w:noProof/>
          <w:sz w:val="24"/>
        </w:rPr>
        <w:t>Nouns and verbs in the intact brain: Evidence from event-related potentials and high-frequency cortical responses. Cereb. Cortex 9, 497–506. doi:10.1093/cercor/9.5.497</w:t>
      </w:r>
    </w:p>
    <w:p w14:paraId="4F754ED0"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Pulvermüller, F., Moseley, R.L., Egorova, N., Shebani, Z., Boulenger, V., 2014. Motor cognition-motor semantics: Action perception theory of cognition and communication. </w:t>
      </w:r>
      <w:r w:rsidRPr="007C17A6">
        <w:rPr>
          <w:rFonts w:ascii="Times New Roman" w:hAnsi="Times New Roman" w:cs="Times New Roman"/>
          <w:noProof/>
          <w:sz w:val="24"/>
          <w:lang w:val="de-DE"/>
        </w:rPr>
        <w:t>Neuropsychologia 55, 71–84. doi:10.1016/j.neuropsychologia.2013.12.002</w:t>
      </w:r>
    </w:p>
    <w:p w14:paraId="625D6D8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Ralph, M.A.L., Jefferies, E., Patterson, K., Rogers, T.T., 2017. </w:t>
      </w:r>
      <w:r w:rsidRPr="007C17A6">
        <w:rPr>
          <w:rFonts w:ascii="Times New Roman" w:hAnsi="Times New Roman" w:cs="Times New Roman"/>
          <w:noProof/>
          <w:sz w:val="24"/>
        </w:rPr>
        <w:t>The neural and computational bases of semantic cognition. Nat Rev Neurosci 18, 42–55.</w:t>
      </w:r>
    </w:p>
    <w:p w14:paraId="353FF0CB"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lastRenderedPageBreak/>
        <w:t xml:space="preserve">Rauschecker, J.P., Scott, S.K., 2009. </w:t>
      </w:r>
      <w:r w:rsidRPr="007C17A6">
        <w:rPr>
          <w:rFonts w:ascii="Times New Roman" w:hAnsi="Times New Roman" w:cs="Times New Roman"/>
          <w:noProof/>
          <w:sz w:val="24"/>
        </w:rPr>
        <w:t>Maps and streams in the auditory cortex: Nonhuman primates illuminate human speech processing. Nat. Neurosci. 12, 718–24. doi:10.1038/nn.2331</w:t>
      </w:r>
    </w:p>
    <w:p w14:paraId="7105754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Rauschecker, J.P., Tian, B., 2000. Mechanisms and streams for processing of “what” and “where” in auditory cortex. Proc. Natl. Acad. Sci. U. S. A. 97, 11800–6. doi:10.1073/pnas.97.22.11800</w:t>
      </w:r>
    </w:p>
    <w:p w14:paraId="79714DAE"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Rilling, J.K., 2014. Comparative primate neuroimaging: Insights into human brain evolution. Trends Cogn. Sci. 18, 46–55. doi:10.1016/j.tics.2013.09.013</w:t>
      </w:r>
    </w:p>
    <w:p w14:paraId="0ABDF63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Rilling, J.K., Glasser, M.F., Jbabdi, S., Andersson, J., Preuss, T.M., 2011. Continuity, divergence, and the evolution of brain language pathways. Front. Evol. Neurosci. 3, 11. doi:10.3389/fnevo.2011.00011</w:t>
      </w:r>
    </w:p>
    <w:p w14:paraId="349C3689"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Rilling, J.K., Glasser, M.F., Preuss, T.M., Ma, X., Zhao, T., Hu, X., Behrens, T.E.J., 2008. The evolution of the arcuate fasciculus revealed with comparative DTI. Nat. </w:t>
      </w:r>
      <w:r w:rsidRPr="007C17A6">
        <w:rPr>
          <w:rFonts w:ascii="Times New Roman" w:hAnsi="Times New Roman" w:cs="Times New Roman"/>
          <w:noProof/>
          <w:sz w:val="24"/>
          <w:lang w:val="de-DE"/>
        </w:rPr>
        <w:t>Neurosci. 11, 426–428. doi:10.1038/nn2072</w:t>
      </w:r>
    </w:p>
    <w:p w14:paraId="67E4FE55"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Rilling, J.K., Van Den Heuvel, M.P., 2018. </w:t>
      </w:r>
      <w:r w:rsidRPr="007C17A6">
        <w:rPr>
          <w:rFonts w:ascii="Times New Roman" w:hAnsi="Times New Roman" w:cs="Times New Roman"/>
          <w:noProof/>
          <w:sz w:val="24"/>
        </w:rPr>
        <w:t>Comparative primate connectomics. Brain. Behav. Evol. 91, 170–179. doi:10.1159/000488886</w:t>
      </w:r>
    </w:p>
    <w:p w14:paraId="56FDF78B"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Rioult-Pedotti, M.-S., Friedman, D., Donoghue, J.P., 2000. Learning-Induced LTP in Neocortex. Science (80-. ). 290, 533 LP-536.</w:t>
      </w:r>
    </w:p>
    <w:p w14:paraId="680E623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Rizzolatti, G. Luppino, G., 2001. The cortical motor system. </w:t>
      </w:r>
      <w:r w:rsidRPr="007C17A6">
        <w:rPr>
          <w:rFonts w:ascii="Times New Roman" w:hAnsi="Times New Roman" w:cs="Times New Roman"/>
          <w:noProof/>
          <w:sz w:val="24"/>
          <w:lang w:val="de-DE"/>
        </w:rPr>
        <w:t>Neuron 31, 889–901.</w:t>
      </w:r>
    </w:p>
    <w:p w14:paraId="0ADAC63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Rolls, E.T., Deco, G., 2010. </w:t>
      </w:r>
      <w:r w:rsidRPr="007C17A6">
        <w:rPr>
          <w:rFonts w:ascii="Times New Roman" w:hAnsi="Times New Roman" w:cs="Times New Roman"/>
          <w:noProof/>
          <w:sz w:val="24"/>
        </w:rPr>
        <w:t>The Noisy Brain: Stochastic Dynamics as a Princple of Brain Function. Oxford University Press, Oxford.</w:t>
      </w:r>
    </w:p>
    <w:p w14:paraId="05F273CA"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Romanski, L.M., 2007. Representation and integration of auditory and visual stimuli in the primate ventral lateral prefrontal cortex. Cereb. Cortex 17, i61–i69. doi:10.1093/cercor/bhm099</w:t>
      </w:r>
    </w:p>
    <w:p w14:paraId="4150B70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Romanski, L.M., Bates, J.F., Goldman-Rakic, P.S., 1999a. Auditory belt and parabelt projections to the prefrontal cortex in the rhesus monkey. J. Comp. Neurol. 403, 141–157. doi:10.1002/(SICI)1096-9861(19990111)403:2&lt;141::AID-CNE1&gt;3.0.CO;2-V</w:t>
      </w:r>
    </w:p>
    <w:p w14:paraId="5089FBDA"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Romanski, L.M., Tian, B., Fritz, J., Mishkin, M., Goldman-Rakic, P.S., Rauschecker, J.P., 1999b. Dual streams of auditory afferents target multiple domains in the primate prefrontal cortex. Nat. Neurosci. 2, 1131–1136. doi:10.1038/16056</w:t>
      </w:r>
    </w:p>
    <w:p w14:paraId="588FCD82"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Saur, D., Kreher, B.W., Schnell, S., Kümmerer, D., Kellmeyer, P., Vry, M.-S., Umarova, R., Musso, M., Glauche, V., Abel, S., Huber, W., Rijntjes, M., Hennig, J., Weiller, C., 2008. Ventral and dorsal pathways for language. Proc. Natl. Acad. Sci. U. S. A. 105, 18035–40. doi:10.1073/pnas.0805234105</w:t>
      </w:r>
    </w:p>
    <w:p w14:paraId="1FCBE2F9"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Schomers, M.R., Garagnani, M., Pulvermüller, F., 2017. </w:t>
      </w:r>
      <w:r w:rsidRPr="007C17A6">
        <w:rPr>
          <w:rFonts w:ascii="Times New Roman" w:hAnsi="Times New Roman" w:cs="Times New Roman"/>
          <w:noProof/>
          <w:sz w:val="24"/>
        </w:rPr>
        <w:t>Neurocomputational Consequences of Evolutionary Connectivity Changes in Perisylvian Language Cortex. J. Neurosci. 37, 3045–3055. doi:10.1523/JNEUROSCI.2693-16.2017</w:t>
      </w:r>
    </w:p>
    <w:p w14:paraId="6BCF2FC3"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 xml:space="preserve">Schomers, M.R., Pulvermüller, F., 2016. Is the Sensorimotor Cortex Relevant for Speech Perception and Understanding? An Integrative Review. Front. Hum. Neurosci. 10. </w:t>
      </w:r>
      <w:r w:rsidRPr="007C17A6">
        <w:rPr>
          <w:rFonts w:ascii="Times New Roman" w:hAnsi="Times New Roman" w:cs="Times New Roman"/>
          <w:noProof/>
          <w:sz w:val="24"/>
        </w:rPr>
        <w:lastRenderedPageBreak/>
        <w:t>doi:10.3389/fnhum.2016.00435</w:t>
      </w:r>
    </w:p>
    <w:p w14:paraId="06684CB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Seltzer, B., Pandya, D.N., 1989. Intrinsic connections and architectonics of the superior temporal sulcus in the rhesus monkey. J. Comp. Neurol. 290, 451–471. doi:10.1002/cne.902900402</w:t>
      </w:r>
    </w:p>
    <w:p w14:paraId="6A53F280"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Shallice, T., 1988. From neuropsychology to mental structure. New York: Cambridge University Press. Cambridge University Press, New York.</w:t>
      </w:r>
    </w:p>
    <w:p w14:paraId="318B198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Shebani, Z., Patterson, K., Nestor, P.J., Diaz-de-Grenu, L.Z., Dawson, K., Pulvermüller, F., 2017. Semantic Word Category Processing in Semantic Dementia and Posterior Cortical Atrophy. Cortex in press. doi:10.1016/j.cortex.2017.04.016</w:t>
      </w:r>
    </w:p>
    <w:p w14:paraId="405F21A4"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Stramandinoli, F., Marocco, D., Cangelosi, A., 2012. The grounding of higher order concepts in action and language: a cognitive robotics model. Neural Networks 32, 165–173.</w:t>
      </w:r>
    </w:p>
    <w:p w14:paraId="1C9A6300"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es-ES"/>
        </w:rPr>
      </w:pPr>
      <w:r w:rsidRPr="007C17A6">
        <w:rPr>
          <w:rFonts w:ascii="Times New Roman" w:hAnsi="Times New Roman" w:cs="Times New Roman"/>
          <w:noProof/>
          <w:sz w:val="24"/>
        </w:rPr>
        <w:t xml:space="preserve">Tate, M.C., Herbet, G., Moritz-Gasser, S., Tate, J.E., Duffau, H., 2014. Probabilistic map of critical functional regions of the human cerebral cortex: Broca’s area revisited. </w:t>
      </w:r>
      <w:r w:rsidRPr="007C17A6">
        <w:rPr>
          <w:rFonts w:ascii="Times New Roman" w:hAnsi="Times New Roman" w:cs="Times New Roman"/>
          <w:noProof/>
          <w:sz w:val="24"/>
          <w:lang w:val="es-ES"/>
        </w:rPr>
        <w:t>Brain 137, 2773–2782.</w:t>
      </w:r>
    </w:p>
    <w:p w14:paraId="69D4C95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es-ES"/>
        </w:rPr>
        <w:t xml:space="preserve">Thiebaut de Schotten, M., Dell’Acqua, F., Valabregue, R., Catani, M., 2012. </w:t>
      </w:r>
      <w:r w:rsidRPr="007C17A6">
        <w:rPr>
          <w:rFonts w:ascii="Times New Roman" w:hAnsi="Times New Roman" w:cs="Times New Roman"/>
          <w:noProof/>
          <w:sz w:val="24"/>
        </w:rPr>
        <w:t>Monkey to human comparative anatomy of the frontal lobe association tracts. Cortex 48, 82–96. doi:10.1016/j.cortex.2011.10.001</w:t>
      </w:r>
    </w:p>
    <w:p w14:paraId="233D26B6"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Tomasello, M., Kruger, A.C., 1992. Joint attention on actions: acquiring verbs in ostensive and non-ostensive contexts. J. Child Lang. 19, 311–333. doi:10.1017/S0305000900011430</w:t>
      </w:r>
    </w:p>
    <w:p w14:paraId="7C02E39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Tomasello, R., Garagnani, M., Wennekers, T., Pulvermüller, F., 2017. Brain connections of words, perceptions and actions: A neurobiological model of spatio-temporal semantic activation in the human cortex. </w:t>
      </w:r>
      <w:r w:rsidRPr="007C17A6">
        <w:rPr>
          <w:rFonts w:ascii="Times New Roman" w:hAnsi="Times New Roman" w:cs="Times New Roman"/>
          <w:noProof/>
          <w:sz w:val="24"/>
          <w:lang w:val="de-DE"/>
        </w:rPr>
        <w:t>Neuropsychologia 98, 111–129. doi:http://doi.org/10.1016/j.neuropsychologia.2016.07.004.</w:t>
      </w:r>
    </w:p>
    <w:p w14:paraId="15E2F38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lang w:val="de-DE"/>
        </w:rPr>
        <w:t xml:space="preserve">Trumpp, N.M., Kliese, D., Hoenig, K., Haarmeier, T., Kiefer, M., 2013. </w:t>
      </w:r>
      <w:r w:rsidRPr="007C17A6">
        <w:rPr>
          <w:rFonts w:ascii="Times New Roman" w:hAnsi="Times New Roman" w:cs="Times New Roman"/>
          <w:noProof/>
          <w:sz w:val="24"/>
        </w:rPr>
        <w:t xml:space="preserve">Losing the sound of concepts: Damage to auditory association cortex impairs the processing of sound-related concepts. </w:t>
      </w:r>
      <w:r w:rsidRPr="007C17A6">
        <w:rPr>
          <w:rFonts w:ascii="Times New Roman" w:hAnsi="Times New Roman" w:cs="Times New Roman"/>
          <w:noProof/>
          <w:sz w:val="24"/>
          <w:lang w:val="de-DE"/>
        </w:rPr>
        <w:t>Cortex 49, 474–486. doi:10.1016/j.cortex.2012.02.002</w:t>
      </w:r>
    </w:p>
    <w:p w14:paraId="3EA52E53"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Tschentscher, N., Hauk, O., Fischer, M.H., Pulvermüller, F., 2012. </w:t>
      </w:r>
      <w:r w:rsidRPr="007C17A6">
        <w:rPr>
          <w:rFonts w:ascii="Times New Roman" w:hAnsi="Times New Roman" w:cs="Times New Roman"/>
          <w:noProof/>
          <w:sz w:val="24"/>
        </w:rPr>
        <w:t>You can count on the motor cortex: Finger counting habits modulate motor cortex activation evoked by numbers. Neuroimage 59, 3139–3148. doi:10.1016/j.neuroimage.2011.11.037</w:t>
      </w:r>
    </w:p>
    <w:p w14:paraId="61EF0D6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Ueno, T., Saito, S., Rogers, T.T., Lambon Ralph, M.A., 2011. Lichtheim 2: Synthesizing aphasia and the neural basis of language in a neurocomputational model of the dual dorsal-ventral language pathways. </w:t>
      </w:r>
      <w:r w:rsidRPr="007C17A6">
        <w:rPr>
          <w:rFonts w:ascii="Times New Roman" w:hAnsi="Times New Roman" w:cs="Times New Roman"/>
          <w:noProof/>
          <w:sz w:val="24"/>
          <w:lang w:val="de-DE"/>
        </w:rPr>
        <w:t>Neuron 72, 385–396. doi:10.1016/j.neuron.2011.09.013</w:t>
      </w:r>
    </w:p>
    <w:p w14:paraId="2AE20DCC"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lang w:val="de-DE"/>
        </w:rPr>
        <w:t xml:space="preserve">Ungerleider, L.G., Gaffan, D., Pelak, V.S., 1989. </w:t>
      </w:r>
      <w:r w:rsidRPr="007C17A6">
        <w:rPr>
          <w:rFonts w:ascii="Times New Roman" w:hAnsi="Times New Roman" w:cs="Times New Roman"/>
          <w:noProof/>
          <w:sz w:val="24"/>
        </w:rPr>
        <w:t xml:space="preserve">Projections from inferior temporal cortex to prefrontal cortex via the uncinate fascicle in rhesus monkeys. </w:t>
      </w:r>
      <w:r w:rsidRPr="007C17A6">
        <w:rPr>
          <w:rFonts w:ascii="Times New Roman" w:hAnsi="Times New Roman" w:cs="Times New Roman"/>
          <w:noProof/>
          <w:sz w:val="24"/>
          <w:lang w:val="de-DE"/>
        </w:rPr>
        <w:t>Exp. Brain Res. 76, 473–484. doi:10.1007/BF00248903</w:t>
      </w:r>
    </w:p>
    <w:p w14:paraId="3D381BBC"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Ungerleider, L.G., Haxby, J. V., 1994. </w:t>
      </w:r>
      <w:r w:rsidRPr="007C17A6">
        <w:rPr>
          <w:rFonts w:ascii="Times New Roman" w:hAnsi="Times New Roman" w:cs="Times New Roman"/>
          <w:noProof/>
          <w:sz w:val="24"/>
        </w:rPr>
        <w:t>“What” and “where” in the human brain. Curr. Opin. Neurobiol. 4, 157–165. doi:10.1016/0959-4388(94)90066-3</w:t>
      </w:r>
    </w:p>
    <w:p w14:paraId="2C8CBFDC"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Van den Heuvel, M.P., Sporns, O., 2013. Network hubs in the human brain. Trends Cogn. Sci. 17, 683–696.</w:t>
      </w:r>
    </w:p>
    <w:p w14:paraId="2EA9161E"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lastRenderedPageBreak/>
        <w:t>Vigliocco, G., Vinson, D.P., Lewis, W., Garrett, M.F., 2004. Representing the meanings of object and action words: The featural and unitary semantic space hypothesis. Cogn. Psychol. 48, 422–488. doi:10.1016/j.cogpsych.2003.09.001</w:t>
      </w:r>
    </w:p>
    <w:p w14:paraId="27C24368"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Vouloumanos, A., Werker, J.F., 2009. Infants’ learning of novel words in a stochastic environment. Dev. Psychol. 45, 1611–7. doi:10.1037/a0016134</w:t>
      </w:r>
    </w:p>
    <w:p w14:paraId="62A0C3B2"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lang w:val="de-DE"/>
        </w:rPr>
      </w:pPr>
      <w:r w:rsidRPr="007C17A6">
        <w:rPr>
          <w:rFonts w:ascii="Times New Roman" w:hAnsi="Times New Roman" w:cs="Times New Roman"/>
          <w:noProof/>
          <w:sz w:val="24"/>
        </w:rPr>
        <w:t xml:space="preserve">Vukovic, N., Feurra, M., Shpektor, A., Myachykov, A., Shtyrov, Y., 2017. Primary motor cortex functionally contributes to language comprehension: An online rTMS study. </w:t>
      </w:r>
      <w:r w:rsidRPr="007C17A6">
        <w:rPr>
          <w:rFonts w:ascii="Times New Roman" w:hAnsi="Times New Roman" w:cs="Times New Roman"/>
          <w:noProof/>
          <w:sz w:val="24"/>
          <w:lang w:val="de-DE"/>
        </w:rPr>
        <w:t>Neuropsychologia 96, 222–229. doi:https://doi.org/10.1016/j.neuropsychologia.2017.01.025</w:t>
      </w:r>
    </w:p>
    <w:p w14:paraId="4C80787A"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Wakana, S., Jiang, H., Nagae-Poetscher, L.M., van Zijl, P.C.M., Mori, S., 2004. </w:t>
      </w:r>
      <w:r w:rsidRPr="007C17A6">
        <w:rPr>
          <w:rFonts w:ascii="Times New Roman" w:hAnsi="Times New Roman" w:cs="Times New Roman"/>
          <w:noProof/>
          <w:sz w:val="24"/>
        </w:rPr>
        <w:t>Fiber tract-based atlas of human white matter anatomy. Radiology 230, 77–87. doi:10.1148/radiol.2301021640</w:t>
      </w:r>
    </w:p>
    <w:p w14:paraId="779AC0FA"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Warrington, E.K., Mccarthy, R., 1983. Category specific access dysphasia. Brain 106, 859–878. doi:10.1093/brain/106.4.859</w:t>
      </w:r>
    </w:p>
    <w:p w14:paraId="06EA1CC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lang w:val="de-DE"/>
        </w:rPr>
        <w:t xml:space="preserve">Webster, M.J., Bachevalier, J., Ungerleider, L.G., 1994. </w:t>
      </w:r>
      <w:r w:rsidRPr="007C17A6">
        <w:rPr>
          <w:rFonts w:ascii="Times New Roman" w:hAnsi="Times New Roman" w:cs="Times New Roman"/>
          <w:noProof/>
          <w:sz w:val="24"/>
        </w:rPr>
        <w:t>Connections of inferior temporal areas TEO and TE with parietal and frontal cortex in macaque monkeys. Cereb. cortex 4, 470–483. doi:10.1093/cercor/4.5.470</w:t>
      </w:r>
    </w:p>
    <w:p w14:paraId="5E5FA030"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Wennekers, T., Garagnani, M., Pulvermüller, F., 2006. Language models based on Hebbian cell assemblies. J. Physiol. Paris 100, 16–30. doi:10.1016/j.jphysparis.2006.09.007</w:t>
      </w:r>
    </w:p>
    <w:p w14:paraId="159148BA"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Westermann, G., Miranda, E.R., 2004. A New Model of Sesorimotor Coupling in the Development of Speech. Brain Lang. 89, 393–400.</w:t>
      </w:r>
    </w:p>
    <w:p w14:paraId="019FC1A5"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Wilson, H.R., Cowan, J.D., 1972. Excitatory and inhibitory interactions in localized populations of model neurons. Biophys. J. 12, 1–24. doi:10.1016/S0006-3495(72)86068-5</w:t>
      </w:r>
    </w:p>
    <w:p w14:paraId="68D481A6"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Yeterian, E.H., Pandya, D.N., Tomaiuolo, F., Petrides, M., 2012. The cortical connectivity of the prefrontal cortex in the monkey brain. Cortex 48, 68–81. doi:10.1016/j.cortex.2011.03.004</w:t>
      </w:r>
    </w:p>
    <w:p w14:paraId="3B7EABAD"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Young, M.P., Scannell, J.W., Burns, G., 1995. The analysis of cortical connectivity. Springer, Heidelberg.</w:t>
      </w:r>
    </w:p>
    <w:p w14:paraId="058CE025"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Young, M.P., Scannell, J.W., Burns, G.A.P.C., Blakemore, C., 1994. Analysis of connectivity: Neural systems in the cerebral cortex. Rev. Neurosci. 5, 227–250. doi:10.1515/REVNEURO.1994.5.3.227</w:t>
      </w:r>
    </w:p>
    <w:p w14:paraId="087FAC2F"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Yuille, A.L., Geiger, D., 2003. Winner-Take-All Mechanisms, in: Arbib, M. (Ed.), The Handbook of Brain Theory and Neural Networks. MIT Press, Cambridge, MA, pp. 1056–1060.</w:t>
      </w:r>
    </w:p>
    <w:p w14:paraId="24FD3827" w14:textId="77777777" w:rsidR="007F4106" w:rsidRPr="007C17A6" w:rsidRDefault="007F4106" w:rsidP="007F4106">
      <w:pPr>
        <w:widowControl w:val="0"/>
        <w:autoSpaceDE w:val="0"/>
        <w:autoSpaceDN w:val="0"/>
        <w:adjustRightInd w:val="0"/>
        <w:spacing w:after="140" w:line="240" w:lineRule="auto"/>
        <w:ind w:left="480" w:hanging="480"/>
        <w:rPr>
          <w:rFonts w:ascii="Times New Roman" w:hAnsi="Times New Roman" w:cs="Times New Roman"/>
          <w:noProof/>
          <w:sz w:val="24"/>
        </w:rPr>
      </w:pPr>
      <w:r w:rsidRPr="007C17A6">
        <w:rPr>
          <w:rFonts w:ascii="Times New Roman" w:hAnsi="Times New Roman" w:cs="Times New Roman"/>
          <w:noProof/>
          <w:sz w:val="24"/>
        </w:rPr>
        <w:t>Zatorre, R.J., Meyer, E., Gjedde, A., Evans, A.C., 1996. PET Studies of Phonetic Processing of Speech: Review, Replication, and Reanalysis. Cereb. Cortex 6, 21–30. doi:10.1093/cercor/6.1.21</w:t>
      </w:r>
    </w:p>
    <w:p w14:paraId="18C2FCB2" w14:textId="2AD86095" w:rsidR="00A838DC" w:rsidRPr="007C17A6" w:rsidRDefault="00E5421A" w:rsidP="007F4106">
      <w:pPr>
        <w:widowControl w:val="0"/>
        <w:autoSpaceDE w:val="0"/>
        <w:autoSpaceDN w:val="0"/>
        <w:adjustRightInd w:val="0"/>
        <w:spacing w:after="140" w:line="240" w:lineRule="auto"/>
        <w:ind w:left="480" w:hanging="480"/>
        <w:rPr>
          <w:rFonts w:ascii="Times New Roman" w:hAnsi="Times New Roman" w:cs="Times New Roman"/>
          <w:sz w:val="24"/>
          <w:szCs w:val="24"/>
          <w:lang w:val="en-GB"/>
        </w:rPr>
        <w:sectPr w:rsidR="00A838DC" w:rsidRPr="007C17A6">
          <w:footerReference w:type="default" r:id="rId9"/>
          <w:type w:val="continuous"/>
          <w:pgSz w:w="12240" w:h="15840"/>
          <w:pgMar w:top="1440" w:right="1440" w:bottom="1440" w:left="1440" w:header="0" w:footer="720" w:gutter="0"/>
          <w:lnNumType w:countBy="1" w:distance="144" w:restart="continuous"/>
          <w:cols w:space="720"/>
          <w:formProt w:val="0"/>
          <w:docGrid w:linePitch="312" w:charSpace="-2049"/>
        </w:sectPr>
      </w:pPr>
      <w:r w:rsidRPr="007C17A6">
        <w:rPr>
          <w:rFonts w:ascii="Times New Roman" w:hAnsi="Times New Roman" w:cs="Times New Roman"/>
          <w:sz w:val="24"/>
          <w:szCs w:val="24"/>
        </w:rPr>
        <w:fldChar w:fldCharType="end"/>
      </w:r>
    </w:p>
    <w:p w14:paraId="5C182093" w14:textId="17432782" w:rsidR="00E82601" w:rsidRPr="007C17A6" w:rsidRDefault="00E82601" w:rsidP="00724823">
      <w:pPr>
        <w:spacing w:line="240" w:lineRule="auto"/>
        <w:rPr>
          <w:rFonts w:ascii="Times New Roman" w:hAnsi="Times New Roman" w:cs="Times New Roman"/>
          <w:b/>
          <w:sz w:val="24"/>
          <w:szCs w:val="24"/>
        </w:rPr>
      </w:pPr>
    </w:p>
    <w:p w14:paraId="064F54D6" w14:textId="77777777" w:rsidR="000C076A" w:rsidRPr="007C17A6" w:rsidRDefault="000C076A" w:rsidP="00724823">
      <w:pPr>
        <w:spacing w:line="240" w:lineRule="auto"/>
        <w:rPr>
          <w:rFonts w:ascii="Times New Roman" w:hAnsi="Times New Roman" w:cs="Times New Roman"/>
          <w:b/>
          <w:sz w:val="24"/>
          <w:szCs w:val="24"/>
        </w:rPr>
      </w:pPr>
    </w:p>
    <w:p w14:paraId="305BC0CB" w14:textId="1F5EC2DD" w:rsidR="009E29DB" w:rsidRPr="007C17A6" w:rsidRDefault="009E29DB" w:rsidP="00724823">
      <w:pPr>
        <w:spacing w:line="240" w:lineRule="auto"/>
        <w:rPr>
          <w:rFonts w:ascii="Times New Roman" w:hAnsi="Times New Roman" w:cs="Times New Roman"/>
          <w:b/>
          <w:sz w:val="24"/>
          <w:szCs w:val="24"/>
        </w:rPr>
      </w:pPr>
      <w:r w:rsidRPr="007C17A6">
        <w:rPr>
          <w:rFonts w:ascii="Times New Roman" w:hAnsi="Times New Roman" w:cs="Times New Roman"/>
          <w:b/>
          <w:sz w:val="24"/>
          <w:szCs w:val="24"/>
        </w:rPr>
        <w:lastRenderedPageBreak/>
        <w:t>Figure captions</w:t>
      </w:r>
    </w:p>
    <w:p w14:paraId="4B3006CB" w14:textId="66666F30" w:rsidR="009E29DB" w:rsidRPr="007C17A6" w:rsidRDefault="009E29DB" w:rsidP="009E29DB">
      <w:pPr>
        <w:spacing w:before="120" w:after="240" w:line="240" w:lineRule="auto"/>
        <w:jc w:val="both"/>
        <w:rPr>
          <w:rFonts w:ascii="Times New Roman" w:hAnsi="Times New Roman" w:cs="Times New Roman"/>
          <w:color w:val="000000" w:themeColor="text1"/>
          <w:lang w:val="en-GB"/>
        </w:rPr>
      </w:pPr>
      <w:r w:rsidRPr="007C17A6">
        <w:rPr>
          <w:rFonts w:ascii="Times New Roman" w:hAnsi="Times New Roman" w:cs="Times New Roman"/>
          <w:b/>
          <w:color w:val="000000" w:themeColor="text1"/>
          <w:lang w:val="en-GB"/>
        </w:rPr>
        <w:t>Fig 1 (A)</w:t>
      </w:r>
      <w:r w:rsidRPr="007C17A6">
        <w:rPr>
          <w:rFonts w:ascii="Times New Roman" w:hAnsi="Times New Roman" w:cs="Times New Roman"/>
          <w:color w:val="000000" w:themeColor="text1"/>
          <w:lang w:val="en-GB"/>
        </w:rPr>
        <w:t xml:space="preserve"> Structure and connectivity of 12 frontal, temporal and occipital cortical areas relevant for learning the meaning of words related to actions.</w:t>
      </w:r>
      <w:r w:rsidRPr="007C17A6">
        <w:rPr>
          <w:rFonts w:ascii="Times New Roman" w:hAnsi="Times New Roman" w:cs="Times New Roman"/>
          <w:b/>
          <w:color w:val="000000" w:themeColor="text1"/>
          <w:lang w:val="en-GB"/>
        </w:rPr>
        <w:t xml:space="preserve"> </w:t>
      </w:r>
      <w:r w:rsidRPr="007C17A6">
        <w:rPr>
          <w:rFonts w:ascii="Times New Roman" w:hAnsi="Times New Roman" w:cs="Times New Roman"/>
          <w:color w:val="000000" w:themeColor="text1"/>
          <w:lang w:val="en-GB"/>
        </w:rPr>
        <w:t>Perisylvian cortex comprises an inferior-frontal articulatory-phonological system (</w:t>
      </w:r>
      <w:r w:rsidRPr="007C17A6">
        <w:rPr>
          <w:rFonts w:ascii="Times New Roman" w:hAnsi="Times New Roman" w:cs="Times New Roman"/>
          <w:color w:val="000000" w:themeColor="text1"/>
          <w:lang w:val="en-GB" w:eastAsia="zh-CN"/>
        </w:rPr>
        <w:t>red colours), including primary motor cortex (M1</w:t>
      </w:r>
      <w:r w:rsidRPr="007C17A6">
        <w:rPr>
          <w:rFonts w:ascii="Times New Roman" w:hAnsi="Times New Roman" w:cs="Times New Roman"/>
          <w:color w:val="000000" w:themeColor="text1"/>
          <w:vertAlign w:val="subscript"/>
          <w:lang w:val="en-GB" w:eastAsia="zh-CN"/>
        </w:rPr>
        <w:t>i</w:t>
      </w:r>
      <w:r w:rsidRPr="007C17A6">
        <w:rPr>
          <w:rFonts w:ascii="Times New Roman" w:hAnsi="Times New Roman" w:cs="Times New Roman"/>
          <w:color w:val="000000" w:themeColor="text1"/>
          <w:lang w:val="en-GB" w:eastAsia="zh-CN"/>
        </w:rPr>
        <w:t>), premotor (</w:t>
      </w:r>
      <w:proofErr w:type="spellStart"/>
      <w:r w:rsidRPr="007C17A6">
        <w:rPr>
          <w:rFonts w:ascii="Times New Roman" w:hAnsi="Times New Roman" w:cs="Times New Roman"/>
          <w:noProof/>
          <w:color w:val="000000" w:themeColor="text1"/>
          <w:lang w:val="en-GB" w:eastAsia="zh-CN"/>
        </w:rPr>
        <w:t>PM</w:t>
      </w:r>
      <w:r w:rsidRPr="007C17A6">
        <w:rPr>
          <w:rFonts w:ascii="Times New Roman" w:hAnsi="Times New Roman" w:cs="Times New Roman"/>
          <w:noProof/>
          <w:color w:val="000000" w:themeColor="text1"/>
          <w:vertAlign w:val="subscript"/>
          <w:lang w:val="en-GB" w:eastAsia="zh-CN"/>
        </w:rPr>
        <w:t>i</w:t>
      </w:r>
      <w:proofErr w:type="spellEnd"/>
      <w:r w:rsidRPr="007C17A6">
        <w:rPr>
          <w:rFonts w:ascii="Times New Roman" w:hAnsi="Times New Roman" w:cs="Times New Roman"/>
          <w:color w:val="000000" w:themeColor="text1"/>
          <w:lang w:val="en-GB" w:eastAsia="zh-CN"/>
        </w:rPr>
        <w:t>) and inferior-prefrontal (</w:t>
      </w:r>
      <w:proofErr w:type="spellStart"/>
      <w:r w:rsidRPr="007C17A6">
        <w:rPr>
          <w:rFonts w:ascii="Times New Roman" w:hAnsi="Times New Roman" w:cs="Times New Roman"/>
          <w:color w:val="000000" w:themeColor="text1"/>
          <w:lang w:val="en-GB" w:eastAsia="zh-CN"/>
        </w:rPr>
        <w:t>PF</w:t>
      </w:r>
      <w:r w:rsidRPr="007C17A6">
        <w:rPr>
          <w:rFonts w:ascii="Times New Roman" w:hAnsi="Times New Roman" w:cs="Times New Roman"/>
          <w:color w:val="000000" w:themeColor="text1"/>
          <w:vertAlign w:val="subscript"/>
          <w:lang w:val="en-GB" w:eastAsia="zh-CN"/>
        </w:rPr>
        <w:t>i</w:t>
      </w:r>
      <w:proofErr w:type="spellEnd"/>
      <w:r w:rsidRPr="007C17A6">
        <w:rPr>
          <w:rFonts w:ascii="Times New Roman" w:hAnsi="Times New Roman" w:cs="Times New Roman"/>
          <w:color w:val="000000" w:themeColor="text1"/>
          <w:lang w:val="en-GB" w:eastAsia="zh-CN"/>
        </w:rPr>
        <w:t xml:space="preserve">), and a superior-temporal acoustic-phonological system (areas in blue), including auditory </w:t>
      </w:r>
      <w:r w:rsidRPr="007C17A6">
        <w:rPr>
          <w:rFonts w:ascii="Times New Roman" w:hAnsi="Times New Roman" w:cs="Times New Roman"/>
          <w:noProof/>
          <w:color w:val="000000" w:themeColor="text1"/>
          <w:lang w:val="en-GB" w:eastAsia="zh-CN"/>
        </w:rPr>
        <w:t>parabelt</w:t>
      </w:r>
      <w:r w:rsidRPr="007C17A6">
        <w:rPr>
          <w:rFonts w:ascii="Times New Roman" w:hAnsi="Times New Roman" w:cs="Times New Roman"/>
          <w:color w:val="000000" w:themeColor="text1"/>
          <w:lang w:val="en-GB" w:eastAsia="zh-CN"/>
        </w:rPr>
        <w:t xml:space="preserve"> (PB), auditory belt (AB) and primary auditory cortex (A1). Extrasylvian areas comprise a lateral dorsal hand-motor system (yellow to brown), including lateral prefrontal (PF</w:t>
      </w:r>
      <w:r w:rsidRPr="007C17A6">
        <w:rPr>
          <w:rFonts w:ascii="Times New Roman" w:hAnsi="Times New Roman" w:cs="Times New Roman"/>
          <w:color w:val="000000" w:themeColor="text1"/>
          <w:vertAlign w:val="subscript"/>
          <w:lang w:val="en-GB" w:eastAsia="zh-CN"/>
        </w:rPr>
        <w:t>L</w:t>
      </w:r>
      <w:r w:rsidRPr="007C17A6">
        <w:rPr>
          <w:rFonts w:ascii="Times New Roman" w:hAnsi="Times New Roman" w:cs="Times New Roman"/>
          <w:color w:val="000000" w:themeColor="text1"/>
          <w:lang w:val="en-GB" w:eastAsia="zh-CN"/>
        </w:rPr>
        <w:t>), premotor (PM</w:t>
      </w:r>
      <w:r w:rsidRPr="007C17A6">
        <w:rPr>
          <w:rFonts w:ascii="Times New Roman" w:hAnsi="Times New Roman" w:cs="Times New Roman"/>
          <w:color w:val="000000" w:themeColor="text1"/>
          <w:vertAlign w:val="subscript"/>
          <w:lang w:val="en-GB" w:eastAsia="zh-CN"/>
        </w:rPr>
        <w:t>L</w:t>
      </w:r>
      <w:r w:rsidRPr="007C17A6">
        <w:rPr>
          <w:rFonts w:ascii="Times New Roman" w:hAnsi="Times New Roman" w:cs="Times New Roman"/>
          <w:color w:val="000000" w:themeColor="text1"/>
          <w:lang w:val="en-GB" w:eastAsia="zh-CN"/>
        </w:rPr>
        <w:t>) and primary motor cortex (M1</w:t>
      </w:r>
      <w:r w:rsidRPr="007C17A6">
        <w:rPr>
          <w:rFonts w:ascii="Times New Roman" w:hAnsi="Times New Roman" w:cs="Times New Roman"/>
          <w:color w:val="000000" w:themeColor="text1"/>
          <w:vertAlign w:val="subscript"/>
          <w:lang w:val="en-GB" w:eastAsia="zh-CN"/>
        </w:rPr>
        <w:t>L</w:t>
      </w:r>
      <w:r w:rsidRPr="007C17A6">
        <w:rPr>
          <w:rFonts w:ascii="Times New Roman" w:hAnsi="Times New Roman" w:cs="Times New Roman"/>
          <w:color w:val="000000" w:themeColor="text1"/>
          <w:lang w:val="en-GB" w:eastAsia="zh-CN"/>
        </w:rPr>
        <w:t xml:space="preserve">), and a visual ‘what’ stream of object processing (green), including anterior-temporal (AT), </w:t>
      </w:r>
      <w:r w:rsidRPr="007C17A6">
        <w:rPr>
          <w:rFonts w:ascii="Times New Roman" w:hAnsi="Times New Roman" w:cs="Times New Roman"/>
          <w:noProof/>
          <w:color w:val="000000" w:themeColor="text1"/>
          <w:lang w:val="en-GB" w:eastAsia="zh-CN"/>
        </w:rPr>
        <w:t>temporo-occipital</w:t>
      </w:r>
      <w:r w:rsidRPr="007C17A6">
        <w:rPr>
          <w:rFonts w:ascii="Times New Roman" w:hAnsi="Times New Roman" w:cs="Times New Roman"/>
          <w:color w:val="000000" w:themeColor="text1"/>
          <w:lang w:val="en-GB" w:eastAsia="zh-CN"/>
        </w:rPr>
        <w:t xml:space="preserve"> (TO) and early visual areas (V1). When learning words in the context of perceived objects or to actions, both peri- and extrasylvian systems are involved. </w:t>
      </w:r>
      <w:r w:rsidRPr="007C17A6">
        <w:rPr>
          <w:rFonts w:ascii="Times New Roman" w:hAnsi="Times New Roman" w:cs="Times New Roman"/>
          <w:color w:val="000000" w:themeColor="text1"/>
          <w:lang w:val="en-GB"/>
        </w:rPr>
        <w:t xml:space="preserve">Numbers indicate Brodmann Areas (BAs) and the arrows (black, purple and blue) represent </w:t>
      </w:r>
      <w:r w:rsidRPr="007C17A6">
        <w:rPr>
          <w:rFonts w:ascii="Times New Roman" w:hAnsi="Times New Roman" w:cs="Times New Roman"/>
          <w:noProof/>
          <w:color w:val="000000" w:themeColor="text1"/>
          <w:lang w:val="en-GB"/>
        </w:rPr>
        <w:t>long distance</w:t>
      </w:r>
      <w:r w:rsidRPr="007C17A6">
        <w:rPr>
          <w:rFonts w:ascii="Times New Roman" w:hAnsi="Times New Roman" w:cs="Times New Roman"/>
          <w:color w:val="000000" w:themeColor="text1"/>
          <w:lang w:val="en-GB"/>
        </w:rPr>
        <w:t xml:space="preserve"> cortico-cortical connections as documented by neuroanatomical studies.</w:t>
      </w:r>
      <w:r w:rsidRPr="007C17A6">
        <w:rPr>
          <w:rFonts w:ascii="Times New Roman" w:hAnsi="Times New Roman" w:cs="Times New Roman"/>
          <w:color w:val="000000" w:themeColor="text1"/>
          <w:lang w:val="en-GB" w:eastAsia="zh-CN"/>
        </w:rPr>
        <w:t xml:space="preserve"> </w:t>
      </w:r>
      <w:r w:rsidRPr="007C17A6">
        <w:rPr>
          <w:rFonts w:ascii="Times New Roman" w:hAnsi="Times New Roman" w:cs="Times New Roman"/>
          <w:b/>
          <w:color w:val="000000" w:themeColor="text1"/>
          <w:lang w:val="en-GB"/>
        </w:rPr>
        <w:t xml:space="preserve">(B) </w:t>
      </w:r>
      <w:r w:rsidRPr="007C17A6">
        <w:rPr>
          <w:rFonts w:ascii="Times New Roman" w:hAnsi="Times New Roman" w:cs="Times New Roman"/>
          <w:color w:val="000000" w:themeColor="text1"/>
          <w:lang w:val="en-GB"/>
        </w:rPr>
        <w:t xml:space="preserve">Schematic global area and connectivity structure of the implemented model. The colours indicate correspondence between cortical and model areas. </w:t>
      </w:r>
      <w:r w:rsidRPr="007C17A6">
        <w:rPr>
          <w:rFonts w:ascii="Times New Roman" w:hAnsi="Times New Roman" w:cs="Times New Roman"/>
          <w:b/>
          <w:color w:val="000000" w:themeColor="text1"/>
          <w:lang w:val="en-GB"/>
        </w:rPr>
        <w:t>(C)</w:t>
      </w:r>
      <w:r w:rsidRPr="007C17A6">
        <w:rPr>
          <w:rFonts w:ascii="Times New Roman" w:hAnsi="Times New Roman" w:cs="Times New Roman"/>
          <w:color w:val="000000" w:themeColor="text1"/>
          <w:lang w:val="en-GB"/>
        </w:rPr>
        <w:t xml:space="preserve"> Micro-connectivity structure of one of the 7,500 single excitatory neural elements modelled (labelled ‘</w:t>
      </w:r>
      <w:r w:rsidRPr="007C17A6">
        <w:rPr>
          <w:rFonts w:ascii="Times New Roman" w:hAnsi="Times New Roman" w:cs="Times New Roman"/>
          <w:i/>
          <w:color w:val="000000" w:themeColor="text1"/>
          <w:lang w:val="en-GB"/>
        </w:rPr>
        <w:t>e</w:t>
      </w:r>
      <w:r w:rsidRPr="007C17A6">
        <w:rPr>
          <w:rFonts w:ascii="Times New Roman" w:hAnsi="Times New Roman" w:cs="Times New Roman"/>
          <w:color w:val="000000" w:themeColor="text1"/>
          <w:lang w:val="en-GB"/>
        </w:rPr>
        <w:t xml:space="preserve">’). Within-area excitatory links (in grey) to and from cell </w:t>
      </w:r>
      <w:r w:rsidRPr="007C17A6">
        <w:rPr>
          <w:rFonts w:ascii="Times New Roman" w:hAnsi="Times New Roman" w:cs="Times New Roman"/>
          <w:i/>
          <w:color w:val="000000" w:themeColor="text1"/>
          <w:lang w:val="en-GB"/>
        </w:rPr>
        <w:t>e</w:t>
      </w:r>
      <w:r w:rsidRPr="007C17A6">
        <w:rPr>
          <w:rFonts w:ascii="Times New Roman" w:hAnsi="Times New Roman" w:cs="Times New Roman"/>
          <w:color w:val="000000" w:themeColor="text1"/>
          <w:lang w:val="en-GB"/>
        </w:rPr>
        <w:t xml:space="preserve"> are limited to a local (19x19) neighbourhood of neural elements (light-grey area). Lateral inhibition between </w:t>
      </w:r>
      <w:r w:rsidRPr="007C17A6">
        <w:rPr>
          <w:rFonts w:ascii="Times New Roman" w:hAnsi="Times New Roman" w:cs="Times New Roman"/>
          <w:i/>
          <w:color w:val="000000" w:themeColor="text1"/>
          <w:lang w:val="en-GB"/>
        </w:rPr>
        <w:t>e</w:t>
      </w:r>
      <w:r w:rsidRPr="007C17A6">
        <w:rPr>
          <w:rFonts w:ascii="Times New Roman" w:hAnsi="Times New Roman" w:cs="Times New Roman"/>
          <w:color w:val="000000" w:themeColor="text1"/>
          <w:lang w:val="en-GB"/>
        </w:rPr>
        <w:t xml:space="preserve"> and neighbouring excitatory elements </w:t>
      </w:r>
      <w:r w:rsidRPr="007C17A6">
        <w:rPr>
          <w:rFonts w:ascii="Times New Roman" w:hAnsi="Times New Roman" w:cs="Times New Roman"/>
          <w:noProof/>
          <w:color w:val="000000" w:themeColor="text1"/>
          <w:lang w:val="en-GB"/>
        </w:rPr>
        <w:t>is realised</w:t>
      </w:r>
      <w:r w:rsidRPr="007C17A6">
        <w:rPr>
          <w:rFonts w:ascii="Times New Roman" w:hAnsi="Times New Roman" w:cs="Times New Roman"/>
          <w:color w:val="000000" w:themeColor="text1"/>
          <w:lang w:val="en-GB"/>
        </w:rPr>
        <w:t xml:space="preserve"> </w:t>
      </w:r>
      <w:r w:rsidRPr="007C17A6">
        <w:rPr>
          <w:rFonts w:ascii="Times New Roman" w:hAnsi="Times New Roman" w:cs="Times New Roman"/>
          <w:noProof/>
          <w:color w:val="000000" w:themeColor="text1"/>
          <w:lang w:val="en-GB"/>
        </w:rPr>
        <w:t xml:space="preserve">as follows: the underlying cell </w:t>
      </w:r>
      <w:r w:rsidRPr="007C17A6">
        <w:rPr>
          <w:rFonts w:ascii="Times New Roman" w:hAnsi="Times New Roman" w:cs="Times New Roman"/>
          <w:i/>
          <w:noProof/>
          <w:color w:val="000000" w:themeColor="text1"/>
          <w:lang w:val="en-GB"/>
        </w:rPr>
        <w:t>i</w:t>
      </w:r>
      <w:r w:rsidRPr="007C17A6">
        <w:rPr>
          <w:rFonts w:ascii="Times New Roman" w:hAnsi="Times New Roman" w:cs="Times New Roman"/>
          <w:noProof/>
          <w:color w:val="000000" w:themeColor="text1"/>
          <w:lang w:val="en-GB"/>
        </w:rPr>
        <w:t xml:space="preserve"> inhibits </w:t>
      </w:r>
      <w:r w:rsidRPr="007C17A6">
        <w:rPr>
          <w:rFonts w:ascii="Times New Roman" w:hAnsi="Times New Roman" w:cs="Times New Roman"/>
          <w:i/>
          <w:noProof/>
          <w:color w:val="000000" w:themeColor="text1"/>
          <w:lang w:val="en-GB"/>
        </w:rPr>
        <w:t>e</w:t>
      </w:r>
      <w:r w:rsidRPr="007C17A6">
        <w:rPr>
          <w:rFonts w:ascii="Times New Roman" w:hAnsi="Times New Roman" w:cs="Times New Roman"/>
          <w:noProof/>
          <w:color w:val="000000" w:themeColor="text1"/>
          <w:lang w:val="en-GB"/>
        </w:rPr>
        <w:t xml:space="preserve"> in proportion to the total excitatory input it receives from the</w:t>
      </w:r>
      <w:r w:rsidRPr="007C17A6">
        <w:rPr>
          <w:rFonts w:ascii="Times New Roman" w:hAnsi="Times New Roman" w:cs="Times New Roman"/>
          <w:color w:val="000000" w:themeColor="text1"/>
          <w:lang w:val="en-GB"/>
        </w:rPr>
        <w:t xml:space="preserve"> 5x5 neighbourhood (dark-purple shaded area); </w:t>
      </w:r>
      <w:r w:rsidRPr="007C17A6">
        <w:rPr>
          <w:rFonts w:ascii="Times New Roman" w:hAnsi="Times New Roman" w:cs="Times New Roman"/>
          <w:noProof/>
          <w:color w:val="000000" w:themeColor="text1"/>
          <w:lang w:val="en-GB"/>
        </w:rPr>
        <w:t>by means of</w:t>
      </w:r>
      <w:r w:rsidRPr="007C17A6">
        <w:rPr>
          <w:rFonts w:ascii="Times New Roman" w:hAnsi="Times New Roman" w:cs="Times New Roman"/>
          <w:color w:val="000000" w:themeColor="text1"/>
          <w:lang w:val="en-GB"/>
        </w:rPr>
        <w:t xml:space="preserve"> analogous connections (not depicted), </w:t>
      </w:r>
      <w:r w:rsidRPr="007C17A6">
        <w:rPr>
          <w:rFonts w:ascii="Times New Roman" w:hAnsi="Times New Roman" w:cs="Times New Roman"/>
          <w:i/>
          <w:color w:val="000000" w:themeColor="text1"/>
          <w:lang w:val="en-GB"/>
        </w:rPr>
        <w:t>e</w:t>
      </w:r>
      <w:r w:rsidRPr="007C17A6">
        <w:rPr>
          <w:rFonts w:ascii="Times New Roman" w:hAnsi="Times New Roman" w:cs="Times New Roman"/>
          <w:color w:val="000000" w:themeColor="text1"/>
          <w:lang w:val="en-GB"/>
        </w:rPr>
        <w:t xml:space="preserve"> inhibits all of its neighbours. </w:t>
      </w:r>
    </w:p>
    <w:p w14:paraId="494415A9" w14:textId="77777777" w:rsidR="009E29DB" w:rsidRPr="007C17A6" w:rsidRDefault="009E29DB" w:rsidP="009E29DB">
      <w:pPr>
        <w:spacing w:before="120" w:after="240" w:line="240" w:lineRule="auto"/>
        <w:jc w:val="both"/>
        <w:rPr>
          <w:rFonts w:ascii="Times New Roman" w:hAnsi="Times New Roman" w:cs="Times New Roman"/>
          <w:color w:val="000000" w:themeColor="text1"/>
          <w:lang w:val="en-GB"/>
        </w:rPr>
      </w:pPr>
      <w:r w:rsidRPr="007C17A6">
        <w:rPr>
          <w:rFonts w:ascii="Times New Roman" w:hAnsi="Times New Roman" w:cs="Times New Roman"/>
          <w:b/>
          <w:color w:val="000000" w:themeColor="text1"/>
          <w:lang w:val="en-GB"/>
        </w:rPr>
        <w:t xml:space="preserve">Fig 2 </w:t>
      </w:r>
      <w:r w:rsidRPr="007C17A6">
        <w:rPr>
          <w:rFonts w:ascii="Times New Roman" w:hAnsi="Times New Roman" w:cs="Times New Roman"/>
          <w:color w:val="000000" w:themeColor="text1"/>
          <w:lang w:val="en-GB"/>
        </w:rPr>
        <w:t xml:space="preserve">Distributions of cell-assemblies (CAs) emerging in the 12 area network during simulation of word learning in the semantic context of visual perception </w:t>
      </w:r>
      <w:r w:rsidRPr="007C17A6">
        <w:rPr>
          <w:rFonts w:ascii="Times New Roman" w:hAnsi="Times New Roman" w:cs="Times New Roman"/>
          <w:b/>
          <w:color w:val="000000" w:themeColor="text1"/>
          <w:lang w:val="en-GB"/>
        </w:rPr>
        <w:t>(A)</w:t>
      </w:r>
      <w:r w:rsidRPr="007C17A6">
        <w:rPr>
          <w:rFonts w:ascii="Times New Roman" w:hAnsi="Times New Roman" w:cs="Times New Roman"/>
          <w:color w:val="000000" w:themeColor="text1"/>
          <w:lang w:val="en-GB"/>
        </w:rPr>
        <w:t xml:space="preserve"> and action execution </w:t>
      </w:r>
      <w:r w:rsidRPr="007C17A6">
        <w:rPr>
          <w:rFonts w:ascii="Times New Roman" w:hAnsi="Times New Roman" w:cs="Times New Roman"/>
          <w:b/>
          <w:color w:val="000000" w:themeColor="text1"/>
          <w:lang w:val="en-GB"/>
        </w:rPr>
        <w:t>(B)</w:t>
      </w:r>
      <w:r w:rsidRPr="007C17A6">
        <w:rPr>
          <w:rFonts w:ascii="Times New Roman" w:hAnsi="Times New Roman" w:cs="Times New Roman"/>
          <w:color w:val="000000" w:themeColor="text1"/>
          <w:lang w:val="en-GB"/>
        </w:rPr>
        <w:t xml:space="preserve">. Results of one typical instantiation of the model in Fig 1b are shown, using the same area labels. Each set of 12 squares (in black) illustrates one specific network area, with white dots indexing the distribution of CA neurons across the 12 network areas as a result of sensorimotor pattern presentation in 3 of the </w:t>
      </w:r>
      <w:r w:rsidRPr="007C17A6">
        <w:rPr>
          <w:rFonts w:ascii="Times New Roman" w:hAnsi="Times New Roman" w:cs="Times New Roman"/>
          <w:noProof/>
          <w:color w:val="000000" w:themeColor="text1"/>
          <w:lang w:val="en-GB"/>
        </w:rPr>
        <w:t>4</w:t>
      </w:r>
      <w:r w:rsidRPr="007C17A6">
        <w:rPr>
          <w:rFonts w:ascii="Times New Roman" w:hAnsi="Times New Roman" w:cs="Times New Roman"/>
          <w:color w:val="000000" w:themeColor="text1"/>
          <w:lang w:val="en-GB"/>
        </w:rPr>
        <w:t xml:space="preserve"> primary areas. The perisylvian cortex was always stimulated, which mimics the learning of a spoken word form characterised by articulatory-acoustic features, while </w:t>
      </w:r>
      <w:r w:rsidRPr="007C17A6">
        <w:rPr>
          <w:rFonts w:ascii="Times New Roman" w:hAnsi="Times New Roman" w:cs="Times New Roman"/>
          <w:color w:val="000000" w:themeColor="text1"/>
          <w:shd w:val="clear" w:color="auto" w:fill="FFFFFF"/>
        </w:rPr>
        <w:t xml:space="preserve">object words (A) received concordant stimulation to </w:t>
      </w:r>
      <w:r w:rsidRPr="007C17A6">
        <w:rPr>
          <w:rFonts w:ascii="Times New Roman" w:hAnsi="Times New Roman" w:cs="Times New Roman"/>
          <w:noProof/>
          <w:color w:val="000000" w:themeColor="text1"/>
          <w:shd w:val="clear" w:color="auto" w:fill="FFFFFF"/>
        </w:rPr>
        <w:t>visual</w:t>
      </w:r>
      <w:r w:rsidRPr="007C17A6">
        <w:rPr>
          <w:rFonts w:ascii="Times New Roman" w:hAnsi="Times New Roman" w:cs="Times New Roman"/>
          <w:color w:val="000000" w:themeColor="text1"/>
          <w:shd w:val="clear" w:color="auto" w:fill="FFFFFF"/>
        </w:rPr>
        <w:t xml:space="preserve"> area (V1) and action words (B) to</w:t>
      </w:r>
      <w:r w:rsidRPr="007C17A6">
        <w:rPr>
          <w:rFonts w:ascii="Times New Roman" w:hAnsi="Times New Roman" w:cs="Times New Roman"/>
        </w:rPr>
        <w:t> </w:t>
      </w:r>
      <w:r w:rsidRPr="007C17A6">
        <w:rPr>
          <w:rFonts w:ascii="Times New Roman" w:hAnsi="Times New Roman" w:cs="Times New Roman"/>
          <w:noProof/>
          <w:color w:val="000000" w:themeColor="text1"/>
          <w:shd w:val="clear" w:color="auto" w:fill="FFFFFF"/>
        </w:rPr>
        <w:t>motor</w:t>
      </w:r>
      <w:r w:rsidRPr="007C17A6">
        <w:rPr>
          <w:rFonts w:ascii="Times New Roman" w:hAnsi="Times New Roman" w:cs="Times New Roman"/>
          <w:color w:val="000000" w:themeColor="text1"/>
          <w:shd w:val="clear" w:color="auto" w:fill="FFFFFF"/>
        </w:rPr>
        <w:t xml:space="preserve"> area (M1</w:t>
      </w:r>
      <w:r w:rsidRPr="007C17A6">
        <w:rPr>
          <w:rFonts w:ascii="Times New Roman" w:hAnsi="Times New Roman" w:cs="Times New Roman"/>
          <w:color w:val="000000" w:themeColor="text1"/>
          <w:shd w:val="clear" w:color="auto" w:fill="FFFFFF"/>
          <w:vertAlign w:val="subscript"/>
        </w:rPr>
        <w:t>i</w:t>
      </w:r>
      <w:r w:rsidRPr="007C17A6">
        <w:rPr>
          <w:rFonts w:ascii="Times New Roman" w:hAnsi="Times New Roman" w:cs="Times New Roman"/>
          <w:color w:val="000000" w:themeColor="text1"/>
          <w:shd w:val="clear" w:color="auto" w:fill="FFFFFF"/>
        </w:rPr>
        <w:t>)</w:t>
      </w:r>
      <w:r w:rsidRPr="007C17A6">
        <w:rPr>
          <w:rFonts w:ascii="Times New Roman" w:hAnsi="Times New Roman" w:cs="Times New Roman"/>
          <w:color w:val="000000" w:themeColor="text1"/>
          <w:lang w:val="en-GB"/>
        </w:rPr>
        <w:t xml:space="preserve">. Note that a random </w:t>
      </w:r>
      <w:r w:rsidRPr="007C17A6">
        <w:rPr>
          <w:rFonts w:ascii="Times New Roman" w:hAnsi="Times New Roman" w:cs="Times New Roman"/>
          <w:noProof/>
          <w:color w:val="000000" w:themeColor="text1"/>
          <w:lang w:val="en-GB"/>
        </w:rPr>
        <w:t>pattern</w:t>
      </w:r>
      <w:r w:rsidRPr="007C17A6">
        <w:rPr>
          <w:rFonts w:ascii="Times New Roman" w:hAnsi="Times New Roman" w:cs="Times New Roman"/>
          <w:color w:val="000000" w:themeColor="text1"/>
          <w:lang w:val="en-GB"/>
        </w:rPr>
        <w:t xml:space="preserve"> simulating realistic noise input, changing in every learning phase, was presented to the non-relevant system (see Methods section)</w:t>
      </w:r>
      <w:r w:rsidRPr="007C17A6">
        <w:rPr>
          <w:rFonts w:ascii="Times New Roman" w:hAnsi="Times New Roman" w:cs="Times New Roman"/>
          <w:noProof/>
          <w:color w:val="000000" w:themeColor="text1"/>
          <w:lang w:val="en-GB"/>
        </w:rPr>
        <w:t>. As a consequence</w:t>
      </w:r>
      <w:r w:rsidRPr="007C17A6">
        <w:rPr>
          <w:rFonts w:ascii="Times New Roman" w:hAnsi="Times New Roman" w:cs="Times New Roman"/>
          <w:color w:val="000000" w:themeColor="text1"/>
          <w:lang w:val="en-GB"/>
        </w:rPr>
        <w:t xml:space="preserve"> of learning, CA circuits emerged in the network which extends into higher and primary visual cortex (V1, TO, but not M1</w:t>
      </w:r>
      <w:r w:rsidRPr="007C17A6">
        <w:rPr>
          <w:rFonts w:ascii="Times New Roman" w:hAnsi="Times New Roman" w:cs="Times New Roman"/>
          <w:color w:val="000000" w:themeColor="text1"/>
          <w:vertAlign w:val="subscript"/>
          <w:lang w:val="en-GB"/>
        </w:rPr>
        <w:t>L</w:t>
      </w:r>
      <w:r w:rsidRPr="007C17A6">
        <w:rPr>
          <w:rFonts w:ascii="Times New Roman" w:hAnsi="Times New Roman" w:cs="Times New Roman"/>
          <w:color w:val="000000" w:themeColor="text1"/>
          <w:lang w:val="en-GB"/>
        </w:rPr>
        <w:t xml:space="preserve">) for object words. </w:t>
      </w:r>
      <w:r w:rsidRPr="007C17A6">
        <w:rPr>
          <w:rFonts w:ascii="Times New Roman" w:hAnsi="Times New Roman" w:cs="Times New Roman"/>
          <w:bCs/>
          <w:color w:val="000000" w:themeColor="text1"/>
          <w:lang w:val="en-GB"/>
        </w:rPr>
        <w:t>In contrast, network correlates of</w:t>
      </w:r>
      <w:r w:rsidRPr="007C17A6">
        <w:rPr>
          <w:rFonts w:ascii="Times New Roman" w:hAnsi="Times New Roman" w:cs="Times New Roman"/>
          <w:b/>
          <w:color w:val="000000" w:themeColor="text1"/>
          <w:lang w:val="en-GB"/>
        </w:rPr>
        <w:t xml:space="preserve"> </w:t>
      </w:r>
      <w:r w:rsidRPr="007C17A6">
        <w:rPr>
          <w:rFonts w:ascii="Times New Roman" w:hAnsi="Times New Roman" w:cs="Times New Roman"/>
          <w:color w:val="000000" w:themeColor="text1"/>
          <w:lang w:val="en-GB"/>
        </w:rPr>
        <w:t xml:space="preserve">action-related words extend into </w:t>
      </w:r>
      <w:r w:rsidRPr="007C17A6">
        <w:rPr>
          <w:rFonts w:ascii="Times New Roman" w:hAnsi="Times New Roman" w:cs="Times New Roman"/>
          <w:noProof/>
          <w:color w:val="000000" w:themeColor="text1"/>
          <w:lang w:val="en-GB"/>
        </w:rPr>
        <w:t>lateral</w:t>
      </w:r>
      <w:r w:rsidRPr="007C17A6">
        <w:rPr>
          <w:rFonts w:ascii="Times New Roman" w:hAnsi="Times New Roman" w:cs="Times New Roman"/>
          <w:color w:val="000000" w:themeColor="text1"/>
          <w:lang w:val="en-GB"/>
        </w:rPr>
        <w:t xml:space="preserve"> motor cortex (M1</w:t>
      </w:r>
      <w:r w:rsidRPr="007C17A6">
        <w:rPr>
          <w:rFonts w:ascii="Times New Roman" w:hAnsi="Times New Roman" w:cs="Times New Roman"/>
          <w:color w:val="000000" w:themeColor="text1"/>
          <w:vertAlign w:val="subscript"/>
          <w:lang w:val="en-GB"/>
        </w:rPr>
        <w:t>L</w:t>
      </w:r>
      <w:r w:rsidRPr="007C17A6">
        <w:rPr>
          <w:rFonts w:ascii="Times New Roman" w:hAnsi="Times New Roman" w:cs="Times New Roman"/>
          <w:color w:val="000000" w:themeColor="text1"/>
          <w:lang w:val="en-GB"/>
        </w:rPr>
        <w:t>, PM</w:t>
      </w:r>
      <w:r w:rsidRPr="007C17A6">
        <w:rPr>
          <w:rFonts w:ascii="Times New Roman" w:hAnsi="Times New Roman" w:cs="Times New Roman"/>
          <w:color w:val="000000" w:themeColor="text1"/>
          <w:vertAlign w:val="subscript"/>
          <w:lang w:val="en-GB"/>
        </w:rPr>
        <w:t>L</w:t>
      </w:r>
      <w:r w:rsidRPr="007C17A6">
        <w:rPr>
          <w:rFonts w:ascii="Times New Roman" w:hAnsi="Times New Roman" w:cs="Times New Roman"/>
          <w:color w:val="000000" w:themeColor="text1"/>
          <w:lang w:val="en-GB"/>
        </w:rPr>
        <w:t xml:space="preserve">, but not V1), thus semantically grounding words in information about actions. For convenience, the area structure of the network </w:t>
      </w:r>
      <w:r w:rsidRPr="007C17A6">
        <w:rPr>
          <w:rFonts w:ascii="Times New Roman" w:hAnsi="Times New Roman" w:cs="Times New Roman"/>
          <w:noProof/>
          <w:color w:val="000000" w:themeColor="text1"/>
          <w:lang w:val="en-GB"/>
        </w:rPr>
        <w:t>is repeated</w:t>
      </w:r>
      <w:r w:rsidRPr="007C17A6">
        <w:rPr>
          <w:rFonts w:ascii="Times New Roman" w:hAnsi="Times New Roman" w:cs="Times New Roman"/>
          <w:color w:val="000000" w:themeColor="text1"/>
          <w:lang w:val="en-GB"/>
        </w:rPr>
        <w:t xml:space="preserve"> at the top.</w:t>
      </w:r>
    </w:p>
    <w:p w14:paraId="28DFF0F9" w14:textId="473A4D80" w:rsidR="00D1693D" w:rsidRPr="007C17A6" w:rsidRDefault="009E29DB" w:rsidP="009E29DB">
      <w:pPr>
        <w:spacing w:before="120" w:after="240" w:line="240" w:lineRule="auto"/>
        <w:jc w:val="both"/>
        <w:rPr>
          <w:rFonts w:ascii="Times New Roman" w:hAnsi="Times New Roman" w:cs="Times New Roman"/>
          <w:color w:val="000000" w:themeColor="text1"/>
          <w:lang w:val="en-GB"/>
        </w:rPr>
      </w:pPr>
      <w:r w:rsidRPr="007C17A6">
        <w:rPr>
          <w:rFonts w:ascii="Times New Roman" w:hAnsi="Times New Roman" w:cs="Times New Roman"/>
          <w:b/>
          <w:color w:val="000000" w:themeColor="text1"/>
          <w:lang w:val="en-GB"/>
        </w:rPr>
        <w:t xml:space="preserve">Fig 3 </w:t>
      </w:r>
      <w:r w:rsidRPr="007C17A6">
        <w:rPr>
          <w:rFonts w:ascii="Times New Roman" w:hAnsi="Times New Roman" w:cs="Times New Roman"/>
          <w:noProof/>
          <w:color w:val="000000" w:themeColor="text1"/>
          <w:lang w:val="en-GB"/>
        </w:rPr>
        <w:t>Activation</w:t>
      </w:r>
      <w:r w:rsidRPr="007C17A6">
        <w:rPr>
          <w:rFonts w:ascii="Times New Roman" w:hAnsi="Times New Roman" w:cs="Times New Roman"/>
          <w:color w:val="000000" w:themeColor="text1"/>
          <w:lang w:val="en-GB"/>
        </w:rPr>
        <w:t xml:space="preserve"> spreading in the 12 area network showing the s</w:t>
      </w:r>
      <w:r w:rsidR="00D1693D" w:rsidRPr="007C17A6">
        <w:rPr>
          <w:rFonts w:ascii="Times New Roman" w:hAnsi="Times New Roman" w:cs="Times New Roman"/>
          <w:color w:val="000000" w:themeColor="text1"/>
          <w:lang w:val="en-GB"/>
        </w:rPr>
        <w:t>imulated recognition of object- and action-related</w:t>
      </w:r>
      <w:r w:rsidRPr="007C17A6">
        <w:rPr>
          <w:rFonts w:ascii="Times New Roman" w:hAnsi="Times New Roman" w:cs="Times New Roman"/>
          <w:b/>
          <w:color w:val="000000" w:themeColor="text1"/>
          <w:lang w:val="en-GB"/>
        </w:rPr>
        <w:t xml:space="preserve"> </w:t>
      </w:r>
      <w:r w:rsidR="008A6C91" w:rsidRPr="007C17A6">
        <w:rPr>
          <w:rFonts w:ascii="Times New Roman" w:hAnsi="Times New Roman" w:cs="Times New Roman"/>
          <w:color w:val="000000" w:themeColor="text1"/>
          <w:lang w:val="en-GB"/>
        </w:rPr>
        <w:t>words (see CA #6</w:t>
      </w:r>
      <w:r w:rsidRPr="007C17A6">
        <w:rPr>
          <w:rFonts w:ascii="Times New Roman" w:hAnsi="Times New Roman" w:cs="Times New Roman"/>
          <w:color w:val="000000" w:themeColor="text1"/>
          <w:lang w:val="en-GB"/>
        </w:rPr>
        <w:t xml:space="preserve"> and CA #10 in Fig 2, respectively). Network responses to stimulation of A1 with the ‘auditory’ patterns of two of the learned words; similar to Fig 2, the 12 network areas </w:t>
      </w:r>
      <w:r w:rsidRPr="007C17A6">
        <w:rPr>
          <w:rFonts w:ascii="Times New Roman" w:hAnsi="Times New Roman" w:cs="Times New Roman"/>
          <w:noProof/>
          <w:color w:val="000000" w:themeColor="text1"/>
          <w:lang w:val="en-GB"/>
        </w:rPr>
        <w:t>are represented</w:t>
      </w:r>
      <w:r w:rsidRPr="007C17A6">
        <w:rPr>
          <w:rFonts w:ascii="Times New Roman" w:hAnsi="Times New Roman" w:cs="Times New Roman"/>
          <w:color w:val="000000" w:themeColor="text1"/>
          <w:lang w:val="en-GB"/>
        </w:rPr>
        <w:t xml:space="preserve"> as 12 squares, but, in this case, selected snapshots of </w:t>
      </w:r>
      <w:r w:rsidRPr="007C17A6">
        <w:rPr>
          <w:rFonts w:ascii="Times New Roman" w:hAnsi="Times New Roman" w:cs="Times New Roman"/>
          <w:noProof/>
          <w:color w:val="000000" w:themeColor="text1"/>
          <w:lang w:val="en-GB"/>
        </w:rPr>
        <w:t>network’s</w:t>
      </w:r>
      <w:r w:rsidRPr="007C17A6">
        <w:rPr>
          <w:rFonts w:ascii="Times New Roman" w:hAnsi="Times New Roman" w:cs="Times New Roman"/>
          <w:color w:val="000000" w:themeColor="text1"/>
          <w:lang w:val="en-GB"/>
        </w:rPr>
        <w:t xml:space="preserve"> activity </w:t>
      </w:r>
      <w:r w:rsidRPr="007C17A6">
        <w:rPr>
          <w:rFonts w:ascii="Times New Roman" w:hAnsi="Times New Roman" w:cs="Times New Roman"/>
          <w:noProof/>
          <w:color w:val="000000" w:themeColor="text1"/>
          <w:lang w:val="en-GB"/>
        </w:rPr>
        <w:t>are shown</w:t>
      </w:r>
      <w:r w:rsidR="00D1693D" w:rsidRPr="007C17A6">
        <w:rPr>
          <w:rFonts w:ascii="Times New Roman" w:hAnsi="Times New Roman" w:cs="Times New Roman"/>
          <w:color w:val="000000" w:themeColor="text1"/>
          <w:lang w:val="en-GB"/>
        </w:rPr>
        <w:t xml:space="preserve">. </w:t>
      </w:r>
      <w:r w:rsidR="00D1693D" w:rsidRPr="007C17A6">
        <w:rPr>
          <w:rFonts w:ascii="Times New Roman" w:hAnsi="Times New Roman" w:cs="Times New Roman"/>
          <w:lang w:val="en-GB"/>
        </w:rPr>
        <w:t>The re-activation process comes in different consecutive neuronal and cognitive phases, the stimulation phase, which corresponds to word perception (orange pixel), the full activation or ‘ignition’ phase, the correlate of word comprehension (magenta pixel), and the reverberant maintenance of activity, which underpins verbal working memory (blue pixels).</w:t>
      </w:r>
      <w:r w:rsidR="00D1693D" w:rsidRPr="007C17A6">
        <w:rPr>
          <w:rFonts w:ascii="Times New Roman" w:hAnsi="Times New Roman" w:cs="Times New Roman"/>
          <w:color w:val="000000" w:themeColor="text1"/>
          <w:lang w:val="en-GB"/>
        </w:rPr>
        <w:t xml:space="preserve"> Each coloured pixel </w:t>
      </w:r>
      <w:r w:rsidR="00D1693D" w:rsidRPr="007C17A6">
        <w:rPr>
          <w:rFonts w:ascii="Times New Roman" w:hAnsi="Times New Roman" w:cs="Times New Roman"/>
          <w:noProof/>
          <w:color w:val="000000" w:themeColor="text1"/>
          <w:lang w:val="en-GB"/>
        </w:rPr>
        <w:t>indicate</w:t>
      </w:r>
      <w:r w:rsidR="005665CB" w:rsidRPr="007C17A6">
        <w:rPr>
          <w:rFonts w:ascii="Times New Roman" w:hAnsi="Times New Roman" w:cs="Times New Roman"/>
          <w:noProof/>
          <w:color w:val="000000" w:themeColor="text1"/>
          <w:lang w:val="en-GB"/>
        </w:rPr>
        <w:t>s</w:t>
      </w:r>
      <w:r w:rsidR="00D1693D" w:rsidRPr="007C17A6">
        <w:rPr>
          <w:rFonts w:ascii="Times New Roman" w:hAnsi="Times New Roman" w:cs="Times New Roman"/>
          <w:color w:val="000000" w:themeColor="text1"/>
          <w:lang w:val="en-GB"/>
        </w:rPr>
        <w:t xml:space="preserve"> one spike of the CA circuit </w:t>
      </w:r>
      <w:r w:rsidR="00D1693D" w:rsidRPr="007C17A6">
        <w:rPr>
          <w:rFonts w:ascii="Times New Roman" w:hAnsi="Times New Roman" w:cs="Times New Roman"/>
          <w:lang w:val="en-GB"/>
        </w:rPr>
        <w:t xml:space="preserve">at a given time step. At the top, the 12 brain areas modelled </w:t>
      </w:r>
      <w:r w:rsidR="00D1693D" w:rsidRPr="007C17A6">
        <w:rPr>
          <w:rFonts w:ascii="Times New Roman" w:hAnsi="Times New Roman" w:cs="Times New Roman"/>
          <w:noProof/>
          <w:lang w:val="en-GB"/>
        </w:rPr>
        <w:t>are shown</w:t>
      </w:r>
      <w:r w:rsidR="00D1693D" w:rsidRPr="007C17A6">
        <w:rPr>
          <w:rFonts w:ascii="Times New Roman" w:hAnsi="Times New Roman" w:cs="Times New Roman"/>
          <w:lang w:val="en-GB"/>
        </w:rPr>
        <w:t>.</w:t>
      </w:r>
    </w:p>
    <w:p w14:paraId="00CA7F64" w14:textId="09713D53" w:rsidR="009E29DB" w:rsidRPr="007C17A6" w:rsidRDefault="005665CB" w:rsidP="009E29DB">
      <w:pPr>
        <w:spacing w:before="120" w:after="240" w:line="240" w:lineRule="auto"/>
        <w:jc w:val="both"/>
        <w:rPr>
          <w:rFonts w:ascii="Times New Roman" w:hAnsi="Times New Roman" w:cs="Times New Roman"/>
          <w:color w:val="auto"/>
          <w:shd w:val="clear" w:color="auto" w:fill="FFFFFF"/>
        </w:rPr>
      </w:pPr>
      <w:r w:rsidRPr="007C17A6">
        <w:rPr>
          <w:noProof/>
        </w:rPr>
        <w:lastRenderedPageBreak/>
        <w:drawing>
          <wp:anchor distT="0" distB="0" distL="114300" distR="114300" simplePos="0" relativeHeight="251669504" behindDoc="0" locked="0" layoutInCell="1" allowOverlap="1" wp14:anchorId="587307C7" wp14:editId="636D075C">
            <wp:simplePos x="0" y="0"/>
            <wp:positionH relativeFrom="margin">
              <wp:posOffset>-407035</wp:posOffset>
            </wp:positionH>
            <wp:positionV relativeFrom="margin">
              <wp:posOffset>2861945</wp:posOffset>
            </wp:positionV>
            <wp:extent cx="6528435" cy="4226560"/>
            <wp:effectExtent l="0" t="0" r="0" b="0"/>
            <wp:wrapSquare wrapText="bothSides"/>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528435" cy="4226560"/>
                    </a:xfrm>
                    <a:prstGeom prst="rect">
                      <a:avLst/>
                    </a:prstGeom>
                  </pic:spPr>
                </pic:pic>
              </a:graphicData>
            </a:graphic>
            <wp14:sizeRelH relativeFrom="margin">
              <wp14:pctWidth>0</wp14:pctWidth>
            </wp14:sizeRelH>
            <wp14:sizeRelV relativeFrom="margin">
              <wp14:pctHeight>0</wp14:pctHeight>
            </wp14:sizeRelV>
          </wp:anchor>
        </w:drawing>
      </w:r>
      <w:r w:rsidR="009E29DB" w:rsidRPr="007C17A6">
        <w:rPr>
          <w:rFonts w:ascii="Times New Roman" w:hAnsi="Times New Roman" w:cs="Times New Roman"/>
          <w:b/>
          <w:color w:val="auto"/>
          <w:lang w:val="en-GB"/>
        </w:rPr>
        <w:t xml:space="preserve">Fig 4 </w:t>
      </w:r>
      <w:r w:rsidR="009E29DB" w:rsidRPr="007C17A6">
        <w:rPr>
          <w:rFonts w:ascii="Times New Roman" w:hAnsi="Times New Roman" w:cs="Times New Roman"/>
          <w:color w:val="auto"/>
          <w:lang w:val="en-GB"/>
        </w:rPr>
        <w:t xml:space="preserve">Mean numbers of cell assembly neurons in different model areas after simulating the learning of action- (light grey) and object-related words (dark grey) during word production </w:t>
      </w:r>
      <w:r w:rsidR="009E29DB" w:rsidRPr="007C17A6">
        <w:rPr>
          <w:rFonts w:ascii="Times New Roman" w:hAnsi="Times New Roman" w:cs="Times New Roman"/>
          <w:b/>
          <w:color w:val="auto"/>
          <w:lang w:val="en-GB"/>
        </w:rPr>
        <w:t>(A)</w:t>
      </w:r>
      <w:r w:rsidR="009E29DB" w:rsidRPr="007C17A6">
        <w:rPr>
          <w:rFonts w:ascii="Times New Roman" w:hAnsi="Times New Roman" w:cs="Times New Roman"/>
          <w:color w:val="auto"/>
          <w:lang w:val="en-GB"/>
        </w:rPr>
        <w:t xml:space="preserve"> and object and action recognition </w:t>
      </w:r>
      <w:r w:rsidR="009E29DB" w:rsidRPr="007C17A6">
        <w:rPr>
          <w:rFonts w:ascii="Times New Roman" w:hAnsi="Times New Roman" w:cs="Times New Roman"/>
          <w:b/>
          <w:color w:val="auto"/>
          <w:lang w:val="en-GB"/>
        </w:rPr>
        <w:t>(B)</w:t>
      </w:r>
      <w:r w:rsidR="009E29DB" w:rsidRPr="007C17A6">
        <w:rPr>
          <w:rFonts w:ascii="Times New Roman" w:hAnsi="Times New Roman" w:cs="Times New Roman"/>
          <w:color w:val="auto"/>
          <w:lang w:val="en-GB"/>
        </w:rPr>
        <w:t xml:space="preserve">; error bars show standard errors over networks. </w:t>
      </w:r>
      <w:r w:rsidR="009E29DB" w:rsidRPr="007C17A6">
        <w:rPr>
          <w:rFonts w:ascii="Times New Roman" w:hAnsi="Times New Roman" w:cs="Times New Roman"/>
          <w:b/>
          <w:bCs/>
          <w:color w:val="auto"/>
          <w:lang w:val="en-GB"/>
        </w:rPr>
        <w:t xml:space="preserve">(A) </w:t>
      </w:r>
      <w:r w:rsidR="009E29DB" w:rsidRPr="007C17A6">
        <w:rPr>
          <w:rFonts w:ascii="Times New Roman" w:hAnsi="Times New Roman" w:cs="Times New Roman"/>
          <w:bCs/>
          <w:color w:val="auto"/>
          <w:lang w:val="en-GB"/>
        </w:rPr>
        <w:t xml:space="preserve">Simulated word production (simultaneous presentation of articulatory-auditory patterns in </w:t>
      </w:r>
      <w:r w:rsidR="009E29DB" w:rsidRPr="007C17A6">
        <w:rPr>
          <w:rFonts w:ascii="Times New Roman" w:hAnsi="Times New Roman" w:cs="Times New Roman"/>
          <w:color w:val="auto"/>
          <w:lang w:val="en-GB"/>
        </w:rPr>
        <w:t>A1 and M1i areas)</w:t>
      </w:r>
      <w:r w:rsidR="009E29DB" w:rsidRPr="007C17A6">
        <w:rPr>
          <w:rFonts w:ascii="Times New Roman" w:hAnsi="Times New Roman" w:cs="Times New Roman"/>
          <w:bCs/>
          <w:color w:val="auto"/>
          <w:lang w:val="en-GB"/>
        </w:rPr>
        <w:t xml:space="preserve"> after </w:t>
      </w:r>
      <w:r w:rsidR="009E29DB" w:rsidRPr="007C17A6">
        <w:rPr>
          <w:rFonts w:ascii="Times New Roman" w:hAnsi="Times New Roman" w:cs="Times New Roman"/>
          <w:bCs/>
          <w:noProof/>
          <w:color w:val="auto"/>
          <w:lang w:val="en-GB"/>
        </w:rPr>
        <w:t>word</w:t>
      </w:r>
      <w:r w:rsidR="009E29DB" w:rsidRPr="007C17A6">
        <w:rPr>
          <w:rFonts w:ascii="Times New Roman" w:hAnsi="Times New Roman" w:cs="Times New Roman"/>
          <w:bCs/>
          <w:color w:val="auto"/>
          <w:lang w:val="en-GB"/>
        </w:rPr>
        <w:t xml:space="preserve"> meaning acquisition.</w:t>
      </w:r>
      <w:r w:rsidR="009E29DB" w:rsidRPr="007C17A6">
        <w:rPr>
          <w:rFonts w:ascii="Times New Roman" w:hAnsi="Times New Roman" w:cs="Times New Roman"/>
          <w:color w:val="auto"/>
          <w:lang w:val="en-GB"/>
        </w:rPr>
        <w:t xml:space="preserve"> The extrasylvian areas (upper part) </w:t>
      </w:r>
      <w:r w:rsidR="009E29DB" w:rsidRPr="007C17A6">
        <w:rPr>
          <w:rFonts w:ascii="Times New Roman" w:hAnsi="Times New Roman" w:cs="Times New Roman"/>
          <w:noProof/>
          <w:color w:val="auto"/>
          <w:lang w:val="en-GB"/>
        </w:rPr>
        <w:t>whose cells can be seen as circuit correlates of word meaning show a double dissociation, with relatively more strongly developed CAs for object- than for action-related words in primary and secondary visual areas (V1, TO), but stronger CAs for</w:t>
      </w:r>
      <w:r w:rsidR="009E29DB" w:rsidRPr="007C17A6">
        <w:rPr>
          <w:rFonts w:ascii="Times New Roman" w:hAnsi="Times New Roman" w:cs="Times New Roman"/>
          <w:color w:val="auto"/>
          <w:lang w:val="en-GB"/>
        </w:rPr>
        <w:t xml:space="preserve"> action-related than for object-related words in dorsolateral primary motor and pre-motor cortices (PM</w:t>
      </w:r>
      <w:r w:rsidR="009E29DB" w:rsidRPr="007C17A6">
        <w:rPr>
          <w:rFonts w:ascii="Times New Roman" w:hAnsi="Times New Roman" w:cs="Times New Roman"/>
          <w:color w:val="auto"/>
          <w:vertAlign w:val="subscript"/>
          <w:lang w:val="en-GB"/>
        </w:rPr>
        <w:t>L</w:t>
      </w:r>
      <w:r w:rsidR="009E29DB" w:rsidRPr="007C17A6">
        <w:rPr>
          <w:rFonts w:ascii="Times New Roman" w:hAnsi="Times New Roman" w:cs="Times New Roman"/>
          <w:color w:val="auto"/>
          <w:lang w:val="en-GB"/>
        </w:rPr>
        <w:t>, M1</w:t>
      </w:r>
      <w:r w:rsidR="009E29DB" w:rsidRPr="007C17A6">
        <w:rPr>
          <w:rFonts w:ascii="Times New Roman" w:hAnsi="Times New Roman" w:cs="Times New Roman"/>
          <w:color w:val="auto"/>
          <w:vertAlign w:val="subscript"/>
          <w:lang w:val="en-GB"/>
        </w:rPr>
        <w:t>L</w:t>
      </w:r>
      <w:r w:rsidR="009E29DB" w:rsidRPr="007C17A6">
        <w:rPr>
          <w:rFonts w:ascii="Times New Roman" w:hAnsi="Times New Roman" w:cs="Times New Roman"/>
          <w:color w:val="auto"/>
          <w:lang w:val="en-GB"/>
        </w:rPr>
        <w:t>). Also, the semantic hub areas (</w:t>
      </w:r>
      <w:proofErr w:type="spellStart"/>
      <w:r w:rsidR="009E29DB" w:rsidRPr="007C17A6">
        <w:rPr>
          <w:rFonts w:ascii="Times New Roman" w:hAnsi="Times New Roman" w:cs="Times New Roman"/>
          <w:noProof/>
          <w:color w:val="auto"/>
          <w:lang w:val="en-GB"/>
        </w:rPr>
        <w:t>PFi</w:t>
      </w:r>
      <w:proofErr w:type="spellEnd"/>
      <w:r w:rsidR="009E29DB" w:rsidRPr="007C17A6">
        <w:rPr>
          <w:rFonts w:ascii="Times New Roman" w:hAnsi="Times New Roman" w:cs="Times New Roman"/>
          <w:color w:val="auto"/>
          <w:lang w:val="en-GB"/>
        </w:rPr>
        <w:t xml:space="preserve">, AT) showed a degree of dissociation between the </w:t>
      </w:r>
      <w:r w:rsidR="009E29DB" w:rsidRPr="007C17A6">
        <w:rPr>
          <w:rFonts w:ascii="Times New Roman" w:hAnsi="Times New Roman" w:cs="Times New Roman"/>
          <w:noProof/>
          <w:color w:val="auto"/>
          <w:lang w:val="en-GB"/>
        </w:rPr>
        <w:t>two word</w:t>
      </w:r>
      <w:r w:rsidR="009E29DB" w:rsidRPr="007C17A6">
        <w:rPr>
          <w:rFonts w:ascii="Times New Roman" w:hAnsi="Times New Roman" w:cs="Times New Roman"/>
          <w:color w:val="auto"/>
          <w:lang w:val="en-GB"/>
        </w:rPr>
        <w:t xml:space="preserve"> types.</w:t>
      </w:r>
      <w:r w:rsidR="009E29DB" w:rsidRPr="007C17A6">
        <w:rPr>
          <w:rFonts w:ascii="Times New Roman" w:hAnsi="Times New Roman" w:cs="Times New Roman"/>
          <w:b/>
          <w:bCs/>
          <w:color w:val="auto"/>
          <w:lang w:val="en-GB"/>
        </w:rPr>
        <w:t xml:space="preserve"> </w:t>
      </w:r>
      <w:r w:rsidR="009E29DB" w:rsidRPr="007C17A6">
        <w:rPr>
          <w:rFonts w:ascii="Times New Roman" w:hAnsi="Times New Roman" w:cs="Times New Roman"/>
          <w:color w:val="auto"/>
          <w:lang w:val="en-GB"/>
        </w:rPr>
        <w:t xml:space="preserve">Data from the perisylvian cortex (lower part), namely articulatory and auditory areas, whose cells can </w:t>
      </w:r>
      <w:r w:rsidR="009E29DB" w:rsidRPr="007C17A6">
        <w:rPr>
          <w:rFonts w:ascii="Times New Roman" w:hAnsi="Times New Roman" w:cs="Times New Roman"/>
          <w:noProof/>
          <w:color w:val="auto"/>
          <w:lang w:val="en-GB"/>
        </w:rPr>
        <w:t>be seen</w:t>
      </w:r>
      <w:r w:rsidR="009E29DB" w:rsidRPr="007C17A6">
        <w:rPr>
          <w:rFonts w:ascii="Times New Roman" w:hAnsi="Times New Roman" w:cs="Times New Roman"/>
          <w:color w:val="auto"/>
          <w:lang w:val="en-GB"/>
        </w:rPr>
        <w:t xml:space="preserve"> as circuit correlates of spoken word-forms do not show category-specific effects. Brain areas and their connectivity structure </w:t>
      </w:r>
      <w:r w:rsidR="009E29DB" w:rsidRPr="007C17A6">
        <w:rPr>
          <w:rFonts w:ascii="Times New Roman" w:hAnsi="Times New Roman" w:cs="Times New Roman"/>
          <w:noProof/>
          <w:color w:val="auto"/>
          <w:lang w:val="en-GB"/>
        </w:rPr>
        <w:t>are also illustrated</w:t>
      </w:r>
      <w:r w:rsidR="009E29DB" w:rsidRPr="007C17A6">
        <w:rPr>
          <w:rFonts w:ascii="Times New Roman" w:hAnsi="Times New Roman" w:cs="Times New Roman"/>
          <w:color w:val="auto"/>
          <w:lang w:val="en-GB"/>
        </w:rPr>
        <w:t>.</w:t>
      </w:r>
      <w:r w:rsidR="009E4897" w:rsidRPr="007C17A6">
        <w:rPr>
          <w:rFonts w:ascii="Times New Roman" w:hAnsi="Times New Roman" w:cs="Times New Roman"/>
          <w:color w:val="auto"/>
          <w:lang w:val="en-GB"/>
        </w:rPr>
        <w:t xml:space="preserve"> The shaded areas, but not the coloured boxes, indicate location in the cortex. </w:t>
      </w:r>
      <w:r w:rsidR="009E29DB" w:rsidRPr="007C17A6">
        <w:rPr>
          <w:rFonts w:ascii="Times New Roman" w:hAnsi="Times New Roman" w:cs="Times New Roman"/>
          <w:color w:val="auto"/>
          <w:lang w:val="en-GB"/>
        </w:rPr>
        <w:t xml:space="preserve"> </w:t>
      </w:r>
      <w:r w:rsidR="009E29DB" w:rsidRPr="007C17A6">
        <w:rPr>
          <w:rFonts w:ascii="Times New Roman" w:hAnsi="Times New Roman" w:cs="Times New Roman"/>
          <w:b/>
          <w:color w:val="auto"/>
          <w:lang w:val="en-GB"/>
        </w:rPr>
        <w:t xml:space="preserve">(B) </w:t>
      </w:r>
      <w:r w:rsidR="009E29DB" w:rsidRPr="007C17A6">
        <w:rPr>
          <w:rFonts w:ascii="Times New Roman" w:hAnsi="Times New Roman" w:cs="Times New Roman"/>
          <w:color w:val="auto"/>
          <w:lang w:val="en-GB"/>
        </w:rPr>
        <w:t xml:space="preserve">Simulated object and action recognition (alternated presentation of sensorimotor patterns in visual (for </w:t>
      </w:r>
      <w:r w:rsidR="009E29DB" w:rsidRPr="007C17A6">
        <w:rPr>
          <w:rFonts w:ascii="Times New Roman" w:hAnsi="Times New Roman" w:cs="Times New Roman"/>
          <w:noProof/>
          <w:color w:val="auto"/>
          <w:lang w:val="en-GB"/>
        </w:rPr>
        <w:t>object</w:t>
      </w:r>
      <w:r w:rsidR="009E29DB" w:rsidRPr="007C17A6">
        <w:rPr>
          <w:rFonts w:ascii="Times New Roman" w:hAnsi="Times New Roman" w:cs="Times New Roman"/>
          <w:color w:val="auto"/>
          <w:lang w:val="en-GB"/>
        </w:rPr>
        <w:t xml:space="preserve">) and </w:t>
      </w:r>
      <w:r w:rsidR="009E29DB" w:rsidRPr="007C17A6">
        <w:rPr>
          <w:rFonts w:ascii="Times New Roman" w:hAnsi="Times New Roman" w:cs="Times New Roman"/>
          <w:noProof/>
          <w:color w:val="auto"/>
          <w:lang w:val="en-GB"/>
        </w:rPr>
        <w:t>in</w:t>
      </w:r>
      <w:r w:rsidR="009E29DB" w:rsidRPr="007C17A6">
        <w:rPr>
          <w:rFonts w:ascii="Times New Roman" w:hAnsi="Times New Roman" w:cs="Times New Roman"/>
          <w:color w:val="auto"/>
          <w:lang w:val="en-GB"/>
        </w:rPr>
        <w:t xml:space="preserve"> motor areas (for action words)). The present simulation exhibits similar results to the word production simulation.</w:t>
      </w:r>
      <w:r w:rsidR="009E29DB" w:rsidRPr="007C17A6">
        <w:rPr>
          <w:rFonts w:ascii="Times New Roman" w:hAnsi="Times New Roman" w:cs="Times New Roman"/>
          <w:b/>
          <w:color w:val="auto"/>
          <w:lang w:val="en-GB"/>
        </w:rPr>
        <w:t xml:space="preserve"> </w:t>
      </w:r>
      <w:r w:rsidR="009E29DB" w:rsidRPr="007C17A6">
        <w:rPr>
          <w:rFonts w:ascii="Times New Roman" w:hAnsi="Times New Roman" w:cs="Times New Roman"/>
          <w:color w:val="auto"/>
          <w:lang w:val="en-GB"/>
        </w:rPr>
        <w:t>The small horizontal segment indicates the stimulus input presentation.</w:t>
      </w:r>
      <w:r w:rsidR="009E29DB" w:rsidRPr="007C17A6">
        <w:rPr>
          <w:rFonts w:ascii="Times New Roman" w:hAnsi="Times New Roman" w:cs="Times New Roman"/>
          <w:b/>
          <w:color w:val="auto"/>
          <w:lang w:val="en-GB"/>
        </w:rPr>
        <w:t xml:space="preserve"> </w:t>
      </w:r>
      <w:r w:rsidR="009E29DB" w:rsidRPr="007C17A6">
        <w:rPr>
          <w:rFonts w:ascii="Times New Roman" w:hAnsi="Times New Roman" w:cs="Times New Roman"/>
          <w:color w:val="auto"/>
          <w:shd w:val="clear" w:color="auto" w:fill="FFFFFF"/>
        </w:rPr>
        <w:t xml:space="preserve">Asterisks indicate that, within a given area, the number of CA cells significantly differed between the circuits of action and </w:t>
      </w:r>
      <w:r w:rsidR="009E29DB" w:rsidRPr="007C17A6">
        <w:rPr>
          <w:rFonts w:ascii="Times New Roman" w:hAnsi="Times New Roman" w:cs="Times New Roman"/>
          <w:noProof/>
          <w:color w:val="auto"/>
          <w:shd w:val="clear" w:color="auto" w:fill="FFFFFF"/>
        </w:rPr>
        <w:t>object</w:t>
      </w:r>
      <w:r w:rsidR="009E29DB" w:rsidRPr="007C17A6">
        <w:rPr>
          <w:rFonts w:ascii="Times New Roman" w:hAnsi="Times New Roman" w:cs="Times New Roman"/>
          <w:color w:val="auto"/>
          <w:shd w:val="clear" w:color="auto" w:fill="FFFFFF"/>
        </w:rPr>
        <w:t xml:space="preserve"> words (Bonferroni-corrected planned comparison tests).</w:t>
      </w:r>
    </w:p>
    <w:p w14:paraId="685DCA72" w14:textId="77777777" w:rsidR="00E82601" w:rsidRPr="007C17A6" w:rsidRDefault="00E82601" w:rsidP="009E29DB">
      <w:pPr>
        <w:spacing w:before="120" w:after="240" w:line="240" w:lineRule="auto"/>
        <w:jc w:val="both"/>
        <w:rPr>
          <w:rFonts w:ascii="Times New Roman" w:hAnsi="Times New Roman" w:cs="Times New Roman"/>
          <w:color w:val="auto"/>
          <w:shd w:val="clear" w:color="auto" w:fill="FFFFFF"/>
        </w:rPr>
      </w:pPr>
    </w:p>
    <w:p w14:paraId="5765833B" w14:textId="58B399E6" w:rsidR="00E82601" w:rsidRPr="007C17A6" w:rsidRDefault="00E82601" w:rsidP="00E82601">
      <w:pPr>
        <w:spacing w:before="120" w:after="240" w:line="240" w:lineRule="auto"/>
        <w:jc w:val="center"/>
        <w:rPr>
          <w:rFonts w:ascii="Times New Roman" w:hAnsi="Times New Roman" w:cs="Times New Roman"/>
          <w:b/>
          <w:color w:val="000000" w:themeColor="text1"/>
        </w:rPr>
      </w:pPr>
      <w:r w:rsidRPr="007C17A6">
        <w:rPr>
          <w:rFonts w:ascii="Times New Roman" w:hAnsi="Times New Roman" w:cs="Times New Roman"/>
          <w:b/>
          <w:color w:val="auto"/>
          <w:shd w:val="clear" w:color="auto" w:fill="FFFFFF"/>
        </w:rPr>
        <w:t>Fig 1</w:t>
      </w:r>
    </w:p>
    <w:p w14:paraId="712ED547" w14:textId="1C25A745" w:rsidR="009E29DB" w:rsidRPr="007C17A6" w:rsidRDefault="00E82601" w:rsidP="00E82601">
      <w:pPr>
        <w:widowControl w:val="0"/>
        <w:spacing w:before="120" w:after="120" w:line="480" w:lineRule="auto"/>
        <w:rPr>
          <w:b/>
          <w:sz w:val="36"/>
          <w:szCs w:val="36"/>
          <w:lang w:val="en-GB"/>
        </w:rPr>
      </w:pPr>
      <w:r w:rsidRPr="007C17A6">
        <w:rPr>
          <w:noProof/>
        </w:rPr>
        <w:lastRenderedPageBreak/>
        <w:drawing>
          <wp:anchor distT="0" distB="10795" distL="114300" distR="114300" simplePos="0" relativeHeight="251668480" behindDoc="0" locked="0" layoutInCell="1" allowOverlap="1" wp14:anchorId="247B57CB" wp14:editId="53472C10">
            <wp:simplePos x="0" y="0"/>
            <wp:positionH relativeFrom="margin">
              <wp:posOffset>-290830</wp:posOffset>
            </wp:positionH>
            <wp:positionV relativeFrom="margin">
              <wp:posOffset>112395</wp:posOffset>
            </wp:positionV>
            <wp:extent cx="6680200" cy="5138420"/>
            <wp:effectExtent l="0" t="0" r="0" b="0"/>
            <wp:wrapSquare wrapText="bothSides"/>
            <wp:docPr id="2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noChangeArrowheads="1"/>
                    </pic:cNvPicPr>
                  </pic:nvPicPr>
                  <pic:blipFill>
                    <a:blip r:embed="rId11"/>
                    <a:stretch>
                      <a:fillRect/>
                    </a:stretch>
                  </pic:blipFill>
                  <pic:spPr bwMode="auto">
                    <a:xfrm>
                      <a:off x="0" y="0"/>
                      <a:ext cx="6680200" cy="5138420"/>
                    </a:xfrm>
                    <a:prstGeom prst="rect">
                      <a:avLst/>
                    </a:prstGeom>
                  </pic:spPr>
                </pic:pic>
              </a:graphicData>
            </a:graphic>
            <wp14:sizeRelH relativeFrom="margin">
              <wp14:pctWidth>0</wp14:pctWidth>
            </wp14:sizeRelH>
            <wp14:sizeRelV relativeFrom="margin">
              <wp14:pctHeight>0</wp14:pctHeight>
            </wp14:sizeRelV>
          </wp:anchor>
        </w:drawing>
      </w:r>
    </w:p>
    <w:p w14:paraId="2CB8FE41" w14:textId="77777777" w:rsidR="009E29DB" w:rsidRPr="007C17A6" w:rsidRDefault="009E29DB" w:rsidP="009E29DB">
      <w:pPr>
        <w:widowControl w:val="0"/>
        <w:spacing w:before="120" w:after="120" w:line="480" w:lineRule="auto"/>
        <w:ind w:firstLine="288"/>
        <w:jc w:val="center"/>
        <w:rPr>
          <w:b/>
          <w:sz w:val="24"/>
          <w:szCs w:val="24"/>
        </w:rPr>
      </w:pPr>
      <w:r w:rsidRPr="007C17A6">
        <w:rPr>
          <w:b/>
          <w:sz w:val="24"/>
          <w:szCs w:val="24"/>
        </w:rPr>
        <w:t>Fig 2</w:t>
      </w:r>
    </w:p>
    <w:p w14:paraId="4FFEDEF3" w14:textId="77777777" w:rsidR="009E29DB" w:rsidRPr="007C17A6" w:rsidRDefault="009E29DB" w:rsidP="009E29DB">
      <w:pPr>
        <w:widowControl w:val="0"/>
        <w:spacing w:before="120" w:after="120" w:line="480" w:lineRule="auto"/>
      </w:pPr>
    </w:p>
    <w:p w14:paraId="0E98267D" w14:textId="3160B8EE" w:rsidR="00D51CF9" w:rsidRPr="007C17A6" w:rsidRDefault="00E632EE" w:rsidP="009E29DB">
      <w:pPr>
        <w:widowControl w:val="0"/>
        <w:spacing w:before="120" w:after="120" w:line="480" w:lineRule="auto"/>
        <w:ind w:firstLine="288"/>
        <w:jc w:val="center"/>
      </w:pPr>
      <w:r w:rsidRPr="007C17A6">
        <w:rPr>
          <w:noProof/>
        </w:rPr>
        <w:lastRenderedPageBreak/>
        <w:drawing>
          <wp:anchor distT="0" distB="0" distL="114300" distR="114300" simplePos="0" relativeHeight="251670528" behindDoc="0" locked="0" layoutInCell="1" allowOverlap="1" wp14:anchorId="03BAFBCF" wp14:editId="70CCAE7D">
            <wp:simplePos x="0" y="0"/>
            <wp:positionH relativeFrom="margin">
              <wp:posOffset>-287655</wp:posOffset>
            </wp:positionH>
            <wp:positionV relativeFrom="margin">
              <wp:posOffset>-447040</wp:posOffset>
            </wp:positionV>
            <wp:extent cx="6348730" cy="7764145"/>
            <wp:effectExtent l="0" t="0" r="1270" b="8255"/>
            <wp:wrapSquare wrapText="bothSides"/>
            <wp:docPr id="11" name="Picture 11" descr="C:\Users\trosario\Dropbox\PhD-Projects\MS-Simulations\Spikingpaper\FrontiersComp\WR_Act_ObjwordsSpik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sario\Dropbox\PhD-Projects\MS-Simulations\Spikingpaper\FrontiersComp\WR_Act_ObjwordsSpik1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8730" cy="776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B56C3" w14:textId="77777777" w:rsidR="009E29DB" w:rsidRPr="007C17A6" w:rsidRDefault="009E29DB" w:rsidP="009E29DB">
      <w:pPr>
        <w:widowControl w:val="0"/>
        <w:spacing w:before="120" w:after="120" w:line="480" w:lineRule="auto"/>
        <w:ind w:firstLine="288"/>
        <w:jc w:val="center"/>
        <w:rPr>
          <w:b/>
          <w:sz w:val="24"/>
          <w:szCs w:val="24"/>
        </w:rPr>
      </w:pPr>
      <w:r w:rsidRPr="007C17A6">
        <w:rPr>
          <w:b/>
          <w:sz w:val="24"/>
          <w:szCs w:val="24"/>
        </w:rPr>
        <w:t>Fig 3</w:t>
      </w:r>
    </w:p>
    <w:p w14:paraId="3BBC72FF" w14:textId="4DC901B5" w:rsidR="009E29DB" w:rsidRPr="007C17A6" w:rsidRDefault="007001E2" w:rsidP="009E29DB">
      <w:pPr>
        <w:widowControl w:val="0"/>
        <w:spacing w:before="120" w:after="120" w:line="480" w:lineRule="auto"/>
        <w:ind w:firstLine="288"/>
        <w:jc w:val="center"/>
      </w:pPr>
      <w:r w:rsidRPr="007C17A6">
        <w:rPr>
          <w:noProof/>
        </w:rPr>
        <w:lastRenderedPageBreak/>
        <w:drawing>
          <wp:anchor distT="0" distB="7620" distL="114300" distR="114300" simplePos="0" relativeHeight="251666432" behindDoc="0" locked="0" layoutInCell="1" allowOverlap="1" wp14:anchorId="7064E13D" wp14:editId="3901394B">
            <wp:simplePos x="0" y="0"/>
            <wp:positionH relativeFrom="margin">
              <wp:posOffset>475615</wp:posOffset>
            </wp:positionH>
            <wp:positionV relativeFrom="margin">
              <wp:posOffset>-390525</wp:posOffset>
            </wp:positionV>
            <wp:extent cx="4962525" cy="8554085"/>
            <wp:effectExtent l="0" t="0" r="9525" b="0"/>
            <wp:wrapSquare wrapText="bothSides"/>
            <wp:docPr id="2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pic:cNvPicPr>
                      <a:picLocks noChangeAspect="1" noChangeArrowheads="1"/>
                    </pic:cNvPicPr>
                  </pic:nvPicPr>
                  <pic:blipFill>
                    <a:blip r:embed="rId13"/>
                    <a:stretch>
                      <a:fillRect/>
                    </a:stretch>
                  </pic:blipFill>
                  <pic:spPr bwMode="auto">
                    <a:xfrm>
                      <a:off x="0" y="0"/>
                      <a:ext cx="4962525" cy="8554085"/>
                    </a:xfrm>
                    <a:prstGeom prst="rect">
                      <a:avLst/>
                    </a:prstGeom>
                  </pic:spPr>
                </pic:pic>
              </a:graphicData>
            </a:graphic>
            <wp14:sizeRelH relativeFrom="margin">
              <wp14:pctWidth>0</wp14:pctWidth>
            </wp14:sizeRelH>
            <wp14:sizeRelV relativeFrom="margin">
              <wp14:pctHeight>0</wp14:pctHeight>
            </wp14:sizeRelV>
          </wp:anchor>
        </w:drawing>
      </w:r>
    </w:p>
    <w:p w14:paraId="479479A7" w14:textId="2D5916B6" w:rsidR="009E29DB" w:rsidRPr="007C17A6" w:rsidRDefault="009E29DB" w:rsidP="009E29DB">
      <w:pPr>
        <w:widowControl w:val="0"/>
        <w:spacing w:before="120" w:after="120" w:line="480" w:lineRule="auto"/>
        <w:ind w:firstLine="288"/>
        <w:jc w:val="center"/>
      </w:pPr>
    </w:p>
    <w:p w14:paraId="260BCD6B" w14:textId="77777777" w:rsidR="009E29DB" w:rsidRPr="007C17A6" w:rsidRDefault="009E29DB" w:rsidP="009E29DB">
      <w:pPr>
        <w:widowControl w:val="0"/>
        <w:spacing w:before="120" w:after="120" w:line="480" w:lineRule="auto"/>
        <w:ind w:firstLine="288"/>
        <w:jc w:val="center"/>
      </w:pPr>
    </w:p>
    <w:p w14:paraId="2DD43BDE" w14:textId="77777777" w:rsidR="009E29DB" w:rsidRPr="007C17A6" w:rsidRDefault="009E29DB" w:rsidP="009E29DB">
      <w:pPr>
        <w:widowControl w:val="0"/>
        <w:spacing w:before="120" w:after="120" w:line="480" w:lineRule="auto"/>
        <w:ind w:firstLine="288"/>
        <w:jc w:val="center"/>
      </w:pPr>
    </w:p>
    <w:p w14:paraId="42097DC1" w14:textId="77777777" w:rsidR="009E29DB" w:rsidRPr="007C17A6" w:rsidRDefault="009E29DB" w:rsidP="009E29DB">
      <w:pPr>
        <w:widowControl w:val="0"/>
        <w:spacing w:before="120" w:after="120" w:line="480" w:lineRule="auto"/>
        <w:ind w:firstLine="288"/>
        <w:jc w:val="center"/>
      </w:pPr>
    </w:p>
    <w:p w14:paraId="012A213F" w14:textId="77777777" w:rsidR="009E29DB" w:rsidRPr="007C17A6" w:rsidRDefault="009E29DB" w:rsidP="009E29DB">
      <w:pPr>
        <w:widowControl w:val="0"/>
        <w:spacing w:before="120" w:after="120" w:line="480" w:lineRule="auto"/>
        <w:ind w:firstLine="288"/>
        <w:jc w:val="center"/>
      </w:pPr>
    </w:p>
    <w:p w14:paraId="484A0FFB" w14:textId="77777777" w:rsidR="009E29DB" w:rsidRPr="007C17A6" w:rsidRDefault="009E29DB" w:rsidP="009E29DB">
      <w:pPr>
        <w:widowControl w:val="0"/>
        <w:spacing w:before="120" w:after="120" w:line="480" w:lineRule="auto"/>
        <w:ind w:firstLine="288"/>
        <w:jc w:val="center"/>
      </w:pPr>
    </w:p>
    <w:p w14:paraId="5C53DC76" w14:textId="77777777" w:rsidR="009E29DB" w:rsidRPr="007C17A6" w:rsidRDefault="009E29DB" w:rsidP="009E29DB">
      <w:pPr>
        <w:widowControl w:val="0"/>
        <w:spacing w:before="120" w:after="120" w:line="480" w:lineRule="auto"/>
        <w:ind w:firstLine="288"/>
        <w:jc w:val="center"/>
      </w:pPr>
    </w:p>
    <w:p w14:paraId="183D7CBA" w14:textId="77777777" w:rsidR="009E29DB" w:rsidRPr="007C17A6" w:rsidRDefault="009E29DB" w:rsidP="009E29DB">
      <w:pPr>
        <w:widowControl w:val="0"/>
        <w:spacing w:before="120" w:after="120" w:line="480" w:lineRule="auto"/>
        <w:ind w:firstLine="288"/>
        <w:jc w:val="center"/>
      </w:pPr>
    </w:p>
    <w:p w14:paraId="09E6A797" w14:textId="77777777" w:rsidR="009E29DB" w:rsidRDefault="009E29DB" w:rsidP="009E29DB">
      <w:pPr>
        <w:widowControl w:val="0"/>
        <w:spacing w:before="120" w:after="120" w:line="480" w:lineRule="auto"/>
        <w:ind w:firstLine="288"/>
        <w:jc w:val="center"/>
      </w:pPr>
      <w:r w:rsidRPr="007C17A6">
        <w:rPr>
          <w:noProof/>
        </w:rPr>
        <mc:AlternateContent>
          <mc:Choice Requires="wps">
            <w:drawing>
              <wp:anchor distT="0" distB="0" distL="114300" distR="114300" simplePos="0" relativeHeight="251667456" behindDoc="0" locked="0" layoutInCell="1" allowOverlap="1" wp14:anchorId="52B8AB27" wp14:editId="6ACF78CD">
                <wp:simplePos x="0" y="0"/>
                <wp:positionH relativeFrom="column">
                  <wp:posOffset>4921250</wp:posOffset>
                </wp:positionH>
                <wp:positionV relativeFrom="paragraph">
                  <wp:posOffset>266065</wp:posOffset>
                </wp:positionV>
                <wp:extent cx="917575" cy="412750"/>
                <wp:effectExtent l="0" t="0" r="0" b="0"/>
                <wp:wrapSquare wrapText="bothSides"/>
                <wp:docPr id="20" name="Casella di testo 14"/>
                <wp:cNvGraphicFramePr/>
                <a:graphic xmlns:a="http://schemas.openxmlformats.org/drawingml/2006/main">
                  <a:graphicData uri="http://schemas.microsoft.com/office/word/2010/wordprocessingShape">
                    <wps:wsp>
                      <wps:cNvSpPr/>
                      <wps:spPr>
                        <a:xfrm rot="5400000" flipV="1">
                          <a:off x="0" y="0"/>
                          <a:ext cx="917575" cy="41275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134A277B" w14:textId="77777777" w:rsidR="000A22B8" w:rsidRDefault="000A22B8" w:rsidP="009E29DB">
                            <w:pPr>
                              <w:pStyle w:val="FrameContents"/>
                              <w:widowControl w:val="0"/>
                              <w:spacing w:before="120" w:after="120" w:line="480" w:lineRule="auto"/>
                              <w:ind w:firstLine="288"/>
                              <w:jc w:val="center"/>
                              <w:rPr>
                                <w:b/>
                                <w:sz w:val="24"/>
                                <w:szCs w:val="24"/>
                              </w:rPr>
                            </w:pPr>
                            <w:r>
                              <w:rPr>
                                <w:b/>
                                <w:color w:val="000000"/>
                                <w:sz w:val="24"/>
                                <w:szCs w:val="24"/>
                              </w:rPr>
                              <w:t>Fig 4</w:t>
                            </w:r>
                          </w:p>
                          <w:p w14:paraId="1ED95E8C" w14:textId="77777777" w:rsidR="000A22B8" w:rsidRDefault="000A22B8" w:rsidP="009E29DB">
                            <w:pPr>
                              <w:pStyle w:val="FrameContents"/>
                              <w:rPr>
                                <w:color w:val="000000"/>
                              </w:rPr>
                            </w:pPr>
                          </w:p>
                        </w:txbxContent>
                      </wps:txbx>
                      <wps:bodyPr>
                        <a:prstTxWarp prst="textNoShape">
                          <a:avLst/>
                        </a:prstTxWarp>
                        <a:noAutofit/>
                      </wps:bodyPr>
                    </wps:wsp>
                  </a:graphicData>
                </a:graphic>
              </wp:anchor>
            </w:drawing>
          </mc:Choice>
          <mc:Fallback>
            <w:pict>
              <v:rect w14:anchorId="52B8AB27" id="Casella di testo 14" o:spid="_x0000_s1044" style="position:absolute;left:0;text-align:left;margin-left:387.5pt;margin-top:20.95pt;width:72.25pt;height:32.5pt;rotation:-90;flip:y;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8kx+QEAAEYEAAAOAAAAZHJzL2Uyb0RvYy54bWysU01v2zAMvQ/YfxB0XxwHybIacYqhRXcZ&#13;&#10;umLturMiU4kAWRQkNXH+/Sjmo113ajEfBIl+eiTfoxaXQ+/EFmKy6FtZj8ZSgNfYWb9u5a+Hm09f&#13;&#10;pEhZ+U459NDKPSR5ufz4YbELDUxwg66DKIjEp2YXWrnJOTRVlfQGepVGGMDTT4OxV5mOcV11Ue2I&#13;&#10;vXfVZDz+XO0wdiGihpQoen34KZfMbwzo/MOYBFm4VlJtmdfI66qs1XKhmnVUYWP1sQz1jip6ZT0l&#13;&#10;PVNdq6zEU7T/UPVWR0xo8khjX6ExVgP3QN3U41fd3G9UAO6FxEnhLFP6f7T6dnsXhe1aOSF5vOrJ&#13;&#10;oyuVwDklOisypIyinhaddiE1BL8Pd/F4SrQtTQ8m9iIiiTubjssnhXE2PNJAsCjUphhY8/1Zcxiy&#13;&#10;0BS8qOez+UwKTb+m9WQ+Y0+qA2khDzHlb4C9KJtWRrKUSdX2e8pUCEFPkAL3eGOdY1ud/ytAwBKp&#13;&#10;Sh+HynmX9w4KzvmfYEgJLrQEeAbhykWxVTQ9SmvwuS5KMBOhC8pQtrdcPOLLVeD5fMvl8w3OjD6f&#13;&#10;L/fWY+TaXjRVtnlYDezvs4kr7PYH44pwD8NvFcNR3Uy23OJp7lTzSuQDtiT3+PUpo7HsQMlzImV5&#13;&#10;aVhZpePDKq/h5ZlNeH7+yz8AAAD//wMAUEsDBBQABgAIAAAAIQDp3PPo5AAAAA4BAAAPAAAAZHJz&#13;&#10;L2Rvd25yZXYueG1sTI/BasMwEETvhf6D2EBvjWyTOI5jOZS0hRLIIXZz31iqbGJJxlIS9++7PbWX&#13;&#10;hWF2Z98U28n07KZG3zkrIJ5HwJRtnOysFvBZvz9nwHxAK7F3Vgn4Vh625eNDgbl0d3tUtypoRiHW&#13;&#10;5yigDWHIOfdNqwz6uRuUJe/LjQYDyVFzOeKdwk3PkyhKucHO0ocWB7VrVXOprkbA/pQd8LBca10v&#13;&#10;j/u3U119JKudEE+z6XVD42UDLKgp/F3Abwfih5LAzu5qpWe9gCxeEH8QkMTAyM9Wa9JnWlykKfCy&#13;&#10;4P9rlD8AAAD//wMAUEsBAi0AFAAGAAgAAAAhALaDOJL+AAAA4QEAABMAAAAAAAAAAAAAAAAAAAAA&#13;&#10;AFtDb250ZW50X1R5cGVzXS54bWxQSwECLQAUAAYACAAAACEAOP0h/9YAAACUAQAACwAAAAAAAAAA&#13;&#10;AAAAAAAvAQAAX3JlbHMvLnJlbHNQSwECLQAUAAYACAAAACEAbevJMfkBAABGBAAADgAAAAAAAAAA&#13;&#10;AAAAAAAuAgAAZHJzL2Uyb0RvYy54bWxQSwECLQAUAAYACAAAACEA6dzz6OQAAAAOAQAADwAAAAAA&#13;&#10;AAAAAAAAAABTBAAAZHJzL2Rvd25yZXYueG1sUEsFBgAAAAAEAAQA8wAAAGQFAAAAAA==&#13;&#10;" filled="f" stroked="f">
                <v:textbox>
                  <w:txbxContent>
                    <w:p w14:paraId="134A277B" w14:textId="77777777" w:rsidR="000A22B8" w:rsidRDefault="000A22B8" w:rsidP="009E29DB">
                      <w:pPr>
                        <w:pStyle w:val="FrameContents"/>
                        <w:widowControl w:val="0"/>
                        <w:spacing w:before="120" w:after="120" w:line="480" w:lineRule="auto"/>
                        <w:ind w:firstLine="288"/>
                        <w:jc w:val="center"/>
                        <w:rPr>
                          <w:b/>
                          <w:sz w:val="24"/>
                          <w:szCs w:val="24"/>
                        </w:rPr>
                      </w:pPr>
                      <w:r>
                        <w:rPr>
                          <w:b/>
                          <w:color w:val="000000"/>
                          <w:sz w:val="24"/>
                          <w:szCs w:val="24"/>
                        </w:rPr>
                        <w:t>Fig 4</w:t>
                      </w:r>
                    </w:p>
                    <w:p w14:paraId="1ED95E8C" w14:textId="77777777" w:rsidR="000A22B8" w:rsidRDefault="000A22B8" w:rsidP="009E29DB">
                      <w:pPr>
                        <w:pStyle w:val="FrameContents"/>
                        <w:rPr>
                          <w:color w:val="000000"/>
                        </w:rPr>
                      </w:pPr>
                    </w:p>
                  </w:txbxContent>
                </v:textbox>
                <w10:wrap type="square"/>
              </v:rect>
            </w:pict>
          </mc:Fallback>
        </mc:AlternateContent>
      </w:r>
      <w:bookmarkStart w:id="203" w:name="_GoBack"/>
      <w:bookmarkEnd w:id="203"/>
    </w:p>
    <w:p w14:paraId="70B81249" w14:textId="77777777" w:rsidR="009E29DB" w:rsidRDefault="009E29DB" w:rsidP="009E29DB">
      <w:pPr>
        <w:widowControl w:val="0"/>
        <w:spacing w:before="120" w:after="120" w:line="480" w:lineRule="auto"/>
        <w:ind w:firstLine="288"/>
        <w:jc w:val="center"/>
      </w:pPr>
    </w:p>
    <w:p w14:paraId="60A270D4" w14:textId="77777777" w:rsidR="009E29DB" w:rsidRDefault="009E29DB" w:rsidP="009E29DB">
      <w:pPr>
        <w:widowControl w:val="0"/>
        <w:spacing w:before="120" w:after="120" w:line="480" w:lineRule="auto"/>
        <w:ind w:firstLine="288"/>
        <w:jc w:val="center"/>
      </w:pPr>
    </w:p>
    <w:p w14:paraId="52CF6E06" w14:textId="77777777" w:rsidR="009E29DB" w:rsidRDefault="009E29DB" w:rsidP="009E29DB">
      <w:pPr>
        <w:widowControl w:val="0"/>
        <w:spacing w:before="120" w:after="120" w:line="480" w:lineRule="auto"/>
        <w:ind w:firstLine="288"/>
        <w:jc w:val="center"/>
      </w:pPr>
    </w:p>
    <w:p w14:paraId="7ABCC36D" w14:textId="77777777" w:rsidR="009E29DB" w:rsidRDefault="009E29DB" w:rsidP="009E29DB">
      <w:pPr>
        <w:widowControl w:val="0"/>
        <w:spacing w:before="120" w:after="120" w:line="480" w:lineRule="auto"/>
        <w:ind w:firstLine="288"/>
        <w:jc w:val="center"/>
      </w:pPr>
    </w:p>
    <w:p w14:paraId="36A23857" w14:textId="77777777" w:rsidR="009E29DB" w:rsidRDefault="009E29DB" w:rsidP="009E29DB">
      <w:pPr>
        <w:widowControl w:val="0"/>
        <w:spacing w:before="120" w:after="120" w:line="480" w:lineRule="auto"/>
        <w:ind w:firstLine="288"/>
        <w:jc w:val="center"/>
      </w:pPr>
    </w:p>
    <w:p w14:paraId="0858324F" w14:textId="77777777" w:rsidR="009E29DB" w:rsidRDefault="009E29DB" w:rsidP="009E29DB">
      <w:pPr>
        <w:widowControl w:val="0"/>
        <w:spacing w:before="120" w:after="120" w:line="480" w:lineRule="auto"/>
        <w:ind w:firstLine="288"/>
        <w:jc w:val="center"/>
      </w:pPr>
    </w:p>
    <w:p w14:paraId="3A8EA5DD" w14:textId="77777777" w:rsidR="009E29DB" w:rsidRDefault="009E29DB" w:rsidP="009E29DB">
      <w:pPr>
        <w:widowControl w:val="0"/>
        <w:spacing w:before="120" w:after="120" w:line="480" w:lineRule="auto"/>
        <w:ind w:firstLine="288"/>
        <w:jc w:val="center"/>
      </w:pPr>
    </w:p>
    <w:p w14:paraId="1EE111C1" w14:textId="4F809D98" w:rsidR="009E29DB" w:rsidRPr="009C5CDB" w:rsidRDefault="009C5CDB" w:rsidP="009C5CDB">
      <w:pPr>
        <w:widowControl w:val="0"/>
        <w:spacing w:before="120" w:after="120" w:line="480" w:lineRule="auto"/>
        <w:rPr>
          <w:b/>
          <w:sz w:val="24"/>
          <w:szCs w:val="24"/>
        </w:rPr>
        <w:sectPr w:rsidR="009E29DB" w:rsidRPr="009C5CDB" w:rsidSect="009E29DB">
          <w:footerReference w:type="default" r:id="rId14"/>
          <w:type w:val="continuous"/>
          <w:pgSz w:w="12240" w:h="15840"/>
          <w:pgMar w:top="1440" w:right="1440" w:bottom="1440" w:left="1440" w:header="0" w:footer="720" w:gutter="0"/>
          <w:lnNumType w:countBy="1" w:distance="144" w:restart="continuous"/>
          <w:cols w:space="720"/>
          <w:formProt w:val="0"/>
          <w:docGrid w:linePitch="312" w:charSpace="-2049"/>
        </w:sectPr>
      </w:pPr>
      <w:r>
        <w:t xml:space="preserve">                      </w:t>
      </w:r>
    </w:p>
    <w:p w14:paraId="3F13E389" w14:textId="77777777" w:rsidR="009E29DB" w:rsidRDefault="009E29DB" w:rsidP="009E29DB">
      <w:pPr>
        <w:sectPr w:rsidR="009E29DB">
          <w:type w:val="continuous"/>
          <w:pgSz w:w="12240" w:h="15840"/>
          <w:pgMar w:top="1440" w:right="1440" w:bottom="1440" w:left="1440" w:header="0" w:footer="720" w:gutter="0"/>
          <w:lnNumType w:countBy="1" w:distance="144" w:restart="continuous"/>
          <w:cols w:space="720"/>
          <w:formProt w:val="0"/>
          <w:docGrid w:linePitch="312" w:charSpace="-2049"/>
        </w:sectPr>
      </w:pPr>
    </w:p>
    <w:p w14:paraId="7EFF139B" w14:textId="3A73EF4D" w:rsidR="00B30D84" w:rsidRPr="00724823" w:rsidRDefault="00B30D84" w:rsidP="00724823">
      <w:pPr>
        <w:spacing w:line="240" w:lineRule="auto"/>
        <w:rPr>
          <w:rFonts w:ascii="Times New Roman" w:hAnsi="Times New Roman" w:cs="Times New Roman"/>
        </w:rPr>
      </w:pPr>
    </w:p>
    <w:sectPr w:rsidR="00B30D84" w:rsidRPr="00724823">
      <w:type w:val="continuous"/>
      <w:pgSz w:w="12240" w:h="15840"/>
      <w:pgMar w:top="1440" w:right="1440" w:bottom="1440" w:left="1440" w:header="0" w:footer="720" w:gutter="0"/>
      <w:lnNumType w:countBy="1" w:distance="144" w:restart="continuous"/>
      <w:cols w:space="720"/>
      <w:formProt w:val="0"/>
      <w:docGrid w:linePitch="312"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1D8BE" w14:textId="77777777" w:rsidR="0071002B" w:rsidRDefault="0071002B">
      <w:pPr>
        <w:spacing w:after="0" w:line="240" w:lineRule="auto"/>
      </w:pPr>
      <w:r>
        <w:separator/>
      </w:r>
    </w:p>
  </w:endnote>
  <w:endnote w:type="continuationSeparator" w:id="0">
    <w:p w14:paraId="5C9587B3" w14:textId="77777777" w:rsidR="0071002B" w:rsidRDefault="00710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jaVu Sans">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1"/>
    <w:family w:val="swiss"/>
    <w:pitch w:val="variable"/>
  </w:font>
  <w:font w:name="Source Han Sans CN Regular">
    <w:panose1 w:val="020B0604020202020204"/>
    <w:charset w:val="00"/>
    <w:family w:val="roman"/>
    <w:pitch w:val="default"/>
  </w:font>
  <w:font w:name="Lohit Devanagari">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2AFF" w:usb1="D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76B23" w14:textId="13DE67C5" w:rsidR="000A22B8" w:rsidRDefault="000A22B8">
    <w:pPr>
      <w:pStyle w:val="Footer"/>
      <w:jc w:val="right"/>
    </w:pPr>
    <w:r>
      <w:fldChar w:fldCharType="begin"/>
    </w:r>
    <w:r>
      <w:instrText>PAGE</w:instrText>
    </w:r>
    <w:r>
      <w:fldChar w:fldCharType="separate"/>
    </w:r>
    <w:r>
      <w:rPr>
        <w:noProof/>
      </w:rPr>
      <w:t>20</w:t>
    </w:r>
    <w:r>
      <w:fldChar w:fldCharType="end"/>
    </w:r>
  </w:p>
  <w:p w14:paraId="62B5D6A9" w14:textId="77777777" w:rsidR="000A22B8" w:rsidRDefault="000A22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0BA88" w14:textId="77777777" w:rsidR="000A22B8" w:rsidRDefault="000A22B8">
    <w:pPr>
      <w:pStyle w:val="Footer"/>
      <w:jc w:val="right"/>
    </w:pPr>
    <w:r>
      <w:fldChar w:fldCharType="begin"/>
    </w:r>
    <w:r>
      <w:instrText>PAGE</w:instrText>
    </w:r>
    <w:r>
      <w:fldChar w:fldCharType="separate"/>
    </w:r>
    <w:r>
      <w:rPr>
        <w:noProof/>
      </w:rPr>
      <w:t>34</w:t>
    </w:r>
    <w:r>
      <w:fldChar w:fldCharType="end"/>
    </w:r>
  </w:p>
  <w:p w14:paraId="2C70BC3D" w14:textId="77777777" w:rsidR="000A22B8" w:rsidRDefault="000A22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0FA30" w14:textId="77777777" w:rsidR="0071002B" w:rsidRDefault="0071002B">
      <w:pPr>
        <w:spacing w:after="0" w:line="240" w:lineRule="auto"/>
      </w:pPr>
      <w:r>
        <w:separator/>
      </w:r>
    </w:p>
  </w:footnote>
  <w:footnote w:type="continuationSeparator" w:id="0">
    <w:p w14:paraId="75EEDC5E" w14:textId="77777777" w:rsidR="0071002B" w:rsidRDefault="0071002B">
      <w:pPr>
        <w:spacing w:after="0" w:line="240" w:lineRule="auto"/>
      </w:pPr>
      <w:r>
        <w:continuationSeparator/>
      </w:r>
    </w:p>
  </w:footnote>
  <w:footnote w:id="1">
    <w:p w14:paraId="0370544F" w14:textId="76559450" w:rsidR="000A22B8" w:rsidRPr="00B126F2" w:rsidRDefault="000A22B8">
      <w:pPr>
        <w:pStyle w:val="FootnoteText"/>
        <w:rPr>
          <w:sz w:val="20"/>
          <w:szCs w:val="20"/>
        </w:rPr>
      </w:pPr>
      <w:r w:rsidRPr="0029361B">
        <w:rPr>
          <w:rStyle w:val="FootnoteReference"/>
        </w:rPr>
        <w:footnoteRef/>
      </w:r>
      <w:r w:rsidRPr="009D4428">
        <w:rPr>
          <w:sz w:val="20"/>
          <w:szCs w:val="20"/>
        </w:rPr>
        <w:t xml:space="preserve"> Note that the linkage of a perisylvian word circuit with semantic information coming from the visual (or motor) system does not necessarily have to go through connector hub PF</w:t>
      </w:r>
      <w:r w:rsidRPr="009D4428">
        <w:rPr>
          <w:sz w:val="20"/>
          <w:szCs w:val="20"/>
          <w:vertAlign w:val="subscript"/>
        </w:rPr>
        <w:t>L</w:t>
      </w:r>
      <w:r w:rsidRPr="009D4428">
        <w:rPr>
          <w:sz w:val="20"/>
          <w:szCs w:val="20"/>
        </w:rPr>
        <w:t xml:space="preserve"> (or AT).</w:t>
      </w:r>
      <w:r w:rsidRPr="00B126F2">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C5F3F"/>
    <w:multiLevelType w:val="hybridMultilevel"/>
    <w:tmpl w:val="070EFEC4"/>
    <w:lvl w:ilvl="0" w:tplc="6DB2E38C">
      <w:start w:val="1"/>
      <w:numFmt w:val="low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16735CAF"/>
    <w:multiLevelType w:val="multilevel"/>
    <w:tmpl w:val="C562D4F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132136C"/>
    <w:multiLevelType w:val="hybridMultilevel"/>
    <w:tmpl w:val="AEFA52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62B04"/>
    <w:multiLevelType w:val="hybridMultilevel"/>
    <w:tmpl w:val="00B6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5816A2"/>
    <w:multiLevelType w:val="hybridMultilevel"/>
    <w:tmpl w:val="1778B8CA"/>
    <w:lvl w:ilvl="0" w:tplc="99D876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DE0DF6"/>
    <w:multiLevelType w:val="hybridMultilevel"/>
    <w:tmpl w:val="AB10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E2262D"/>
    <w:multiLevelType w:val="hybridMultilevel"/>
    <w:tmpl w:val="9FDAD48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U2trAwBGITSzMTMyUdpeDU4uLM/DyQAiODWgAasNVxLQAAAA=="/>
  </w:docVars>
  <w:rsids>
    <w:rsidRoot w:val="00A838DC"/>
    <w:rsid w:val="00003B91"/>
    <w:rsid w:val="00015FD5"/>
    <w:rsid w:val="0001709C"/>
    <w:rsid w:val="00021439"/>
    <w:rsid w:val="00037839"/>
    <w:rsid w:val="00042414"/>
    <w:rsid w:val="00057B31"/>
    <w:rsid w:val="00060772"/>
    <w:rsid w:val="00064C6A"/>
    <w:rsid w:val="0007393E"/>
    <w:rsid w:val="000752E1"/>
    <w:rsid w:val="000960B1"/>
    <w:rsid w:val="000A22B8"/>
    <w:rsid w:val="000A22CA"/>
    <w:rsid w:val="000B667C"/>
    <w:rsid w:val="000C076A"/>
    <w:rsid w:val="000C2BA0"/>
    <w:rsid w:val="000C311C"/>
    <w:rsid w:val="000C5A17"/>
    <w:rsid w:val="000C68B1"/>
    <w:rsid w:val="000C68BF"/>
    <w:rsid w:val="000C77FC"/>
    <w:rsid w:val="000D0D30"/>
    <w:rsid w:val="000E1B69"/>
    <w:rsid w:val="000E687B"/>
    <w:rsid w:val="000F1467"/>
    <w:rsid w:val="000F4DE9"/>
    <w:rsid w:val="000F7CB9"/>
    <w:rsid w:val="001040A7"/>
    <w:rsid w:val="0011746D"/>
    <w:rsid w:val="00117975"/>
    <w:rsid w:val="00117BE0"/>
    <w:rsid w:val="001213BE"/>
    <w:rsid w:val="00136E73"/>
    <w:rsid w:val="0014059C"/>
    <w:rsid w:val="0014306D"/>
    <w:rsid w:val="00151511"/>
    <w:rsid w:val="001542DE"/>
    <w:rsid w:val="00154B80"/>
    <w:rsid w:val="00155086"/>
    <w:rsid w:val="00170A0E"/>
    <w:rsid w:val="00172357"/>
    <w:rsid w:val="001765BD"/>
    <w:rsid w:val="00185FC3"/>
    <w:rsid w:val="001910CB"/>
    <w:rsid w:val="00197686"/>
    <w:rsid w:val="001A1F74"/>
    <w:rsid w:val="001A2F70"/>
    <w:rsid w:val="001B1DC4"/>
    <w:rsid w:val="001B4E73"/>
    <w:rsid w:val="001B585D"/>
    <w:rsid w:val="001B70BA"/>
    <w:rsid w:val="001C3C6B"/>
    <w:rsid w:val="001C6777"/>
    <w:rsid w:val="001D035E"/>
    <w:rsid w:val="001D41EA"/>
    <w:rsid w:val="001E016E"/>
    <w:rsid w:val="001E725D"/>
    <w:rsid w:val="001F2072"/>
    <w:rsid w:val="001F3FB5"/>
    <w:rsid w:val="001F5D54"/>
    <w:rsid w:val="001F742B"/>
    <w:rsid w:val="0021026F"/>
    <w:rsid w:val="0021118E"/>
    <w:rsid w:val="00237336"/>
    <w:rsid w:val="002474FC"/>
    <w:rsid w:val="0027459E"/>
    <w:rsid w:val="0028054E"/>
    <w:rsid w:val="0029361B"/>
    <w:rsid w:val="0029671D"/>
    <w:rsid w:val="002A6E2B"/>
    <w:rsid w:val="002C1FC5"/>
    <w:rsid w:val="002C7C68"/>
    <w:rsid w:val="002D7062"/>
    <w:rsid w:val="002E3312"/>
    <w:rsid w:val="002F0624"/>
    <w:rsid w:val="002F426C"/>
    <w:rsid w:val="002F42BA"/>
    <w:rsid w:val="002F4B03"/>
    <w:rsid w:val="00310EC5"/>
    <w:rsid w:val="00317488"/>
    <w:rsid w:val="003224A4"/>
    <w:rsid w:val="003324E5"/>
    <w:rsid w:val="00335E38"/>
    <w:rsid w:val="0035369D"/>
    <w:rsid w:val="003537E3"/>
    <w:rsid w:val="00354BCB"/>
    <w:rsid w:val="003562D2"/>
    <w:rsid w:val="0036075D"/>
    <w:rsid w:val="00360E10"/>
    <w:rsid w:val="0036502A"/>
    <w:rsid w:val="00375F61"/>
    <w:rsid w:val="003809F0"/>
    <w:rsid w:val="003946FC"/>
    <w:rsid w:val="00397D72"/>
    <w:rsid w:val="003B616D"/>
    <w:rsid w:val="003C0490"/>
    <w:rsid w:val="003C44E9"/>
    <w:rsid w:val="003C4990"/>
    <w:rsid w:val="003D7D74"/>
    <w:rsid w:val="003E012F"/>
    <w:rsid w:val="003E2321"/>
    <w:rsid w:val="003E536A"/>
    <w:rsid w:val="003E6695"/>
    <w:rsid w:val="003F3EB2"/>
    <w:rsid w:val="003F6324"/>
    <w:rsid w:val="004003A1"/>
    <w:rsid w:val="00401693"/>
    <w:rsid w:val="004143C2"/>
    <w:rsid w:val="004155FA"/>
    <w:rsid w:val="00422A67"/>
    <w:rsid w:val="00426FEE"/>
    <w:rsid w:val="0043105D"/>
    <w:rsid w:val="00434532"/>
    <w:rsid w:val="00441132"/>
    <w:rsid w:val="004436B9"/>
    <w:rsid w:val="00446769"/>
    <w:rsid w:val="00446BF6"/>
    <w:rsid w:val="00457346"/>
    <w:rsid w:val="00457390"/>
    <w:rsid w:val="00457454"/>
    <w:rsid w:val="00462D2B"/>
    <w:rsid w:val="00471B54"/>
    <w:rsid w:val="0047287F"/>
    <w:rsid w:val="00475518"/>
    <w:rsid w:val="004806B6"/>
    <w:rsid w:val="00481365"/>
    <w:rsid w:val="004876EF"/>
    <w:rsid w:val="0049767A"/>
    <w:rsid w:val="004A0F27"/>
    <w:rsid w:val="004A287E"/>
    <w:rsid w:val="004C24CF"/>
    <w:rsid w:val="004D4356"/>
    <w:rsid w:val="004E1865"/>
    <w:rsid w:val="004F0745"/>
    <w:rsid w:val="004F6224"/>
    <w:rsid w:val="00500D7B"/>
    <w:rsid w:val="00501101"/>
    <w:rsid w:val="00507139"/>
    <w:rsid w:val="00514A75"/>
    <w:rsid w:val="0052370F"/>
    <w:rsid w:val="00526579"/>
    <w:rsid w:val="005279DE"/>
    <w:rsid w:val="00532246"/>
    <w:rsid w:val="00537B4D"/>
    <w:rsid w:val="00540F33"/>
    <w:rsid w:val="005458B0"/>
    <w:rsid w:val="005618DB"/>
    <w:rsid w:val="00562D91"/>
    <w:rsid w:val="00565B95"/>
    <w:rsid w:val="005665CB"/>
    <w:rsid w:val="00577B83"/>
    <w:rsid w:val="00587DB2"/>
    <w:rsid w:val="00587E2F"/>
    <w:rsid w:val="005B1B29"/>
    <w:rsid w:val="005B1E9D"/>
    <w:rsid w:val="005B54C1"/>
    <w:rsid w:val="005C0429"/>
    <w:rsid w:val="005C69E3"/>
    <w:rsid w:val="005C75E5"/>
    <w:rsid w:val="005D4A24"/>
    <w:rsid w:val="005D7A5E"/>
    <w:rsid w:val="005E6AD4"/>
    <w:rsid w:val="006001D0"/>
    <w:rsid w:val="00600429"/>
    <w:rsid w:val="00600E5F"/>
    <w:rsid w:val="0060131E"/>
    <w:rsid w:val="006046E7"/>
    <w:rsid w:val="00626627"/>
    <w:rsid w:val="00646A64"/>
    <w:rsid w:val="00654321"/>
    <w:rsid w:val="00670101"/>
    <w:rsid w:val="00670FBB"/>
    <w:rsid w:val="00676C4E"/>
    <w:rsid w:val="00680607"/>
    <w:rsid w:val="0069030D"/>
    <w:rsid w:val="00696C5F"/>
    <w:rsid w:val="00697AF7"/>
    <w:rsid w:val="006A1652"/>
    <w:rsid w:val="006A192C"/>
    <w:rsid w:val="006A346A"/>
    <w:rsid w:val="006C1748"/>
    <w:rsid w:val="006D21B6"/>
    <w:rsid w:val="006E019A"/>
    <w:rsid w:val="006F0689"/>
    <w:rsid w:val="007001E2"/>
    <w:rsid w:val="00701360"/>
    <w:rsid w:val="0070352E"/>
    <w:rsid w:val="00704F92"/>
    <w:rsid w:val="00707C77"/>
    <w:rsid w:val="0071002B"/>
    <w:rsid w:val="00710C49"/>
    <w:rsid w:val="007138A2"/>
    <w:rsid w:val="00724823"/>
    <w:rsid w:val="00730992"/>
    <w:rsid w:val="007478DD"/>
    <w:rsid w:val="007564B8"/>
    <w:rsid w:val="00761CAA"/>
    <w:rsid w:val="0077421C"/>
    <w:rsid w:val="00781EC7"/>
    <w:rsid w:val="007A0EEF"/>
    <w:rsid w:val="007A7006"/>
    <w:rsid w:val="007A7615"/>
    <w:rsid w:val="007B0271"/>
    <w:rsid w:val="007B706F"/>
    <w:rsid w:val="007B74DF"/>
    <w:rsid w:val="007C17A6"/>
    <w:rsid w:val="007D2F14"/>
    <w:rsid w:val="007E25D4"/>
    <w:rsid w:val="007E2FEB"/>
    <w:rsid w:val="007E4903"/>
    <w:rsid w:val="007F4106"/>
    <w:rsid w:val="00812610"/>
    <w:rsid w:val="00817941"/>
    <w:rsid w:val="00820B92"/>
    <w:rsid w:val="0083266B"/>
    <w:rsid w:val="0083572A"/>
    <w:rsid w:val="00842329"/>
    <w:rsid w:val="00844A59"/>
    <w:rsid w:val="00852BF4"/>
    <w:rsid w:val="00852E10"/>
    <w:rsid w:val="00853C82"/>
    <w:rsid w:val="0085677F"/>
    <w:rsid w:val="00860337"/>
    <w:rsid w:val="0086671F"/>
    <w:rsid w:val="00866B9A"/>
    <w:rsid w:val="00866C9F"/>
    <w:rsid w:val="008715ED"/>
    <w:rsid w:val="00871945"/>
    <w:rsid w:val="00873611"/>
    <w:rsid w:val="008919F1"/>
    <w:rsid w:val="008A5E16"/>
    <w:rsid w:val="008A6C91"/>
    <w:rsid w:val="008A7FCF"/>
    <w:rsid w:val="008B0FD2"/>
    <w:rsid w:val="008B37A3"/>
    <w:rsid w:val="008C482B"/>
    <w:rsid w:val="008C57A6"/>
    <w:rsid w:val="008D0B25"/>
    <w:rsid w:val="008D0CC7"/>
    <w:rsid w:val="008D34B7"/>
    <w:rsid w:val="008E6101"/>
    <w:rsid w:val="00902D52"/>
    <w:rsid w:val="00904729"/>
    <w:rsid w:val="0091537C"/>
    <w:rsid w:val="00916668"/>
    <w:rsid w:val="0092011B"/>
    <w:rsid w:val="0093255D"/>
    <w:rsid w:val="009429B4"/>
    <w:rsid w:val="009521CD"/>
    <w:rsid w:val="00952FBC"/>
    <w:rsid w:val="009551B1"/>
    <w:rsid w:val="0096169A"/>
    <w:rsid w:val="00961DCF"/>
    <w:rsid w:val="00962E04"/>
    <w:rsid w:val="00963B7C"/>
    <w:rsid w:val="0097426A"/>
    <w:rsid w:val="00981D3B"/>
    <w:rsid w:val="00987645"/>
    <w:rsid w:val="00995DBB"/>
    <w:rsid w:val="009A0AB5"/>
    <w:rsid w:val="009A5DCE"/>
    <w:rsid w:val="009A6341"/>
    <w:rsid w:val="009A68C1"/>
    <w:rsid w:val="009A7876"/>
    <w:rsid w:val="009C5CDB"/>
    <w:rsid w:val="009C7283"/>
    <w:rsid w:val="009D28C2"/>
    <w:rsid w:val="009D2973"/>
    <w:rsid w:val="009D430C"/>
    <w:rsid w:val="009D439A"/>
    <w:rsid w:val="009D4428"/>
    <w:rsid w:val="009D7044"/>
    <w:rsid w:val="009E29DB"/>
    <w:rsid w:val="009E30C9"/>
    <w:rsid w:val="009E4897"/>
    <w:rsid w:val="00A07E22"/>
    <w:rsid w:val="00A1393D"/>
    <w:rsid w:val="00A15347"/>
    <w:rsid w:val="00A27B5E"/>
    <w:rsid w:val="00A41217"/>
    <w:rsid w:val="00A4573A"/>
    <w:rsid w:val="00A51E95"/>
    <w:rsid w:val="00A53AD5"/>
    <w:rsid w:val="00A54311"/>
    <w:rsid w:val="00A550BD"/>
    <w:rsid w:val="00A6076F"/>
    <w:rsid w:val="00A63730"/>
    <w:rsid w:val="00A65F2B"/>
    <w:rsid w:val="00A723B5"/>
    <w:rsid w:val="00A74F8D"/>
    <w:rsid w:val="00A81FE9"/>
    <w:rsid w:val="00A82299"/>
    <w:rsid w:val="00A838DC"/>
    <w:rsid w:val="00A84992"/>
    <w:rsid w:val="00A873C6"/>
    <w:rsid w:val="00A915EB"/>
    <w:rsid w:val="00A95F1F"/>
    <w:rsid w:val="00A977CA"/>
    <w:rsid w:val="00AA6334"/>
    <w:rsid w:val="00AB1147"/>
    <w:rsid w:val="00AB21B6"/>
    <w:rsid w:val="00AC0F0D"/>
    <w:rsid w:val="00AC710C"/>
    <w:rsid w:val="00AE4176"/>
    <w:rsid w:val="00AF0844"/>
    <w:rsid w:val="00AF37CD"/>
    <w:rsid w:val="00AF3E8E"/>
    <w:rsid w:val="00B126F2"/>
    <w:rsid w:val="00B16EA1"/>
    <w:rsid w:val="00B30D84"/>
    <w:rsid w:val="00B31A86"/>
    <w:rsid w:val="00B46929"/>
    <w:rsid w:val="00B474C7"/>
    <w:rsid w:val="00B53DED"/>
    <w:rsid w:val="00B54741"/>
    <w:rsid w:val="00B84E09"/>
    <w:rsid w:val="00B91E1C"/>
    <w:rsid w:val="00B926E2"/>
    <w:rsid w:val="00B947C6"/>
    <w:rsid w:val="00BA35D5"/>
    <w:rsid w:val="00BA50A1"/>
    <w:rsid w:val="00BA6A01"/>
    <w:rsid w:val="00BB04AA"/>
    <w:rsid w:val="00BB4015"/>
    <w:rsid w:val="00BB7A4A"/>
    <w:rsid w:val="00BC4956"/>
    <w:rsid w:val="00BC52B9"/>
    <w:rsid w:val="00BD51A3"/>
    <w:rsid w:val="00BD7116"/>
    <w:rsid w:val="00BE3A26"/>
    <w:rsid w:val="00BF1A84"/>
    <w:rsid w:val="00C00A10"/>
    <w:rsid w:val="00C0755B"/>
    <w:rsid w:val="00C16164"/>
    <w:rsid w:val="00C167D5"/>
    <w:rsid w:val="00C2104A"/>
    <w:rsid w:val="00C33D3B"/>
    <w:rsid w:val="00C356F9"/>
    <w:rsid w:val="00C35A2B"/>
    <w:rsid w:val="00C50142"/>
    <w:rsid w:val="00C54114"/>
    <w:rsid w:val="00C55D5D"/>
    <w:rsid w:val="00C56D26"/>
    <w:rsid w:val="00C61C34"/>
    <w:rsid w:val="00C64668"/>
    <w:rsid w:val="00C722FB"/>
    <w:rsid w:val="00C73F3C"/>
    <w:rsid w:val="00C74FBB"/>
    <w:rsid w:val="00C75980"/>
    <w:rsid w:val="00C860CD"/>
    <w:rsid w:val="00C87AD7"/>
    <w:rsid w:val="00C916B2"/>
    <w:rsid w:val="00C96C13"/>
    <w:rsid w:val="00CA1697"/>
    <w:rsid w:val="00CA2CFE"/>
    <w:rsid w:val="00CA449E"/>
    <w:rsid w:val="00CC0257"/>
    <w:rsid w:val="00CC4C9D"/>
    <w:rsid w:val="00CD35EC"/>
    <w:rsid w:val="00CE7022"/>
    <w:rsid w:val="00CE71CB"/>
    <w:rsid w:val="00CF283A"/>
    <w:rsid w:val="00D03A99"/>
    <w:rsid w:val="00D050D1"/>
    <w:rsid w:val="00D101F5"/>
    <w:rsid w:val="00D10401"/>
    <w:rsid w:val="00D10E72"/>
    <w:rsid w:val="00D13CA9"/>
    <w:rsid w:val="00D1693D"/>
    <w:rsid w:val="00D177C0"/>
    <w:rsid w:val="00D21780"/>
    <w:rsid w:val="00D341A2"/>
    <w:rsid w:val="00D4427D"/>
    <w:rsid w:val="00D44AFF"/>
    <w:rsid w:val="00D4626D"/>
    <w:rsid w:val="00D51CF9"/>
    <w:rsid w:val="00D54BE4"/>
    <w:rsid w:val="00D71CAF"/>
    <w:rsid w:val="00D7399A"/>
    <w:rsid w:val="00D747A2"/>
    <w:rsid w:val="00D76808"/>
    <w:rsid w:val="00D77160"/>
    <w:rsid w:val="00D87A0A"/>
    <w:rsid w:val="00D905DF"/>
    <w:rsid w:val="00DA59CF"/>
    <w:rsid w:val="00DA750D"/>
    <w:rsid w:val="00DA7A9B"/>
    <w:rsid w:val="00DD276E"/>
    <w:rsid w:val="00DE0A8E"/>
    <w:rsid w:val="00DE610C"/>
    <w:rsid w:val="00E2031D"/>
    <w:rsid w:val="00E25A5A"/>
    <w:rsid w:val="00E27C1E"/>
    <w:rsid w:val="00E33CB2"/>
    <w:rsid w:val="00E3456A"/>
    <w:rsid w:val="00E3782A"/>
    <w:rsid w:val="00E407CB"/>
    <w:rsid w:val="00E43A92"/>
    <w:rsid w:val="00E4518B"/>
    <w:rsid w:val="00E5421A"/>
    <w:rsid w:val="00E632EE"/>
    <w:rsid w:val="00E63719"/>
    <w:rsid w:val="00E64BEF"/>
    <w:rsid w:val="00E6574A"/>
    <w:rsid w:val="00E676CF"/>
    <w:rsid w:val="00E73090"/>
    <w:rsid w:val="00E740D6"/>
    <w:rsid w:val="00E7460D"/>
    <w:rsid w:val="00E764D6"/>
    <w:rsid w:val="00E82601"/>
    <w:rsid w:val="00E83673"/>
    <w:rsid w:val="00E8657B"/>
    <w:rsid w:val="00E91A78"/>
    <w:rsid w:val="00E91AB3"/>
    <w:rsid w:val="00E923A7"/>
    <w:rsid w:val="00E933F5"/>
    <w:rsid w:val="00E95F08"/>
    <w:rsid w:val="00E9636C"/>
    <w:rsid w:val="00EA3FE0"/>
    <w:rsid w:val="00EB5412"/>
    <w:rsid w:val="00EC7070"/>
    <w:rsid w:val="00EF4021"/>
    <w:rsid w:val="00EF75D9"/>
    <w:rsid w:val="00F02A88"/>
    <w:rsid w:val="00F20EC5"/>
    <w:rsid w:val="00F2295C"/>
    <w:rsid w:val="00F24026"/>
    <w:rsid w:val="00F2772F"/>
    <w:rsid w:val="00F337E3"/>
    <w:rsid w:val="00F42DBA"/>
    <w:rsid w:val="00F447FF"/>
    <w:rsid w:val="00F46A63"/>
    <w:rsid w:val="00F5534E"/>
    <w:rsid w:val="00F55EF4"/>
    <w:rsid w:val="00F76897"/>
    <w:rsid w:val="00F80027"/>
    <w:rsid w:val="00F80F30"/>
    <w:rsid w:val="00F82E60"/>
    <w:rsid w:val="00F84489"/>
    <w:rsid w:val="00F911B0"/>
    <w:rsid w:val="00F97E16"/>
    <w:rsid w:val="00FA45D5"/>
    <w:rsid w:val="00FB4957"/>
    <w:rsid w:val="00FB4D93"/>
    <w:rsid w:val="00FC5538"/>
    <w:rsid w:val="00FC70C6"/>
    <w:rsid w:val="00FD3456"/>
    <w:rsid w:val="00FD46EB"/>
    <w:rsid w:val="00FE008B"/>
    <w:rsid w:val="00FE1FCB"/>
    <w:rsid w:val="00FE46E0"/>
    <w:rsid w:val="00FE4EC1"/>
    <w:rsid w:val="00FF35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D9B202"/>
  <w15:docId w15:val="{C4B1A93C-88D4-4085-9E85-0081C65A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ejaVu Sans"/>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1A86"/>
    <w:pPr>
      <w:spacing w:after="160" w:line="259" w:lineRule="auto"/>
    </w:pPr>
    <w:rPr>
      <w:color w:val="00000A"/>
      <w:sz w:val="22"/>
    </w:rPr>
  </w:style>
  <w:style w:type="paragraph" w:styleId="Heading1">
    <w:name w:val="heading 1"/>
    <w:basedOn w:val="Normal"/>
    <w:qFormat/>
    <w:rsid w:val="0074545B"/>
    <w:pPr>
      <w:keepNext/>
      <w:keepLines/>
      <w:spacing w:before="120" w:after="120" w:line="480" w:lineRule="auto"/>
      <w:outlineLvl w:val="0"/>
    </w:pPr>
    <w:rPr>
      <w:rFonts w:eastAsia="MS Gothic" w:cs="Times New Roman"/>
      <w:sz w:val="32"/>
      <w:szCs w:val="32"/>
    </w:rPr>
  </w:style>
  <w:style w:type="paragraph" w:styleId="Heading2">
    <w:name w:val="heading 2"/>
    <w:basedOn w:val="Normal"/>
    <w:qFormat/>
    <w:pPr>
      <w:keepNext/>
      <w:keepLines/>
      <w:suppressAutoHyphens/>
      <w:spacing w:before="40" w:after="0"/>
      <w:outlineLvl w:val="1"/>
    </w:pPr>
    <w:rPr>
      <w:rFonts w:ascii="Calibri Light" w:eastAsia="MS Gothic" w:hAnsi="Calibri Light"/>
      <w:color w:val="2E74B5"/>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sid w:val="00C116C0"/>
    <w:rPr>
      <w:b/>
      <w:sz w:val="30"/>
      <w:szCs w:val="30"/>
    </w:rPr>
  </w:style>
  <w:style w:type="character" w:customStyle="1" w:styleId="ListLabel1">
    <w:name w:val="ListLabel 1"/>
    <w:qFormat/>
    <w:rPr>
      <w:rFonts w:cs="Symbol"/>
      <w:sz w:val="24"/>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InternetLink">
    <w:name w:val="Internet Link"/>
    <w:rPr>
      <w:color w:val="000080"/>
      <w:u w:val="single"/>
    </w:rPr>
  </w:style>
  <w:style w:type="character" w:styleId="Emphasis">
    <w:name w:val="Emphasis"/>
    <w:qFormat/>
    <w:rPr>
      <w:i/>
      <w:iCs/>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Source Han Sans CN Regular"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FrameContents">
    <w:name w:val="Frame Contents"/>
    <w:basedOn w:val="Normal"/>
    <w:qFormat/>
  </w:style>
  <w:style w:type="paragraph" w:styleId="Footer">
    <w:name w:val="footer"/>
    <w:basedOn w:val="Normal"/>
  </w:style>
  <w:style w:type="paragraph" w:styleId="CommentText">
    <w:name w:val="annotation text"/>
    <w:basedOn w:val="Normal"/>
    <w:link w:val="CommentTextChar"/>
    <w:semiHidden/>
    <w:unhideWhenUsed/>
    <w:qFormat/>
    <w:pPr>
      <w:spacing w:line="240" w:lineRule="auto"/>
    </w:pPr>
    <w:rPr>
      <w:sz w:val="24"/>
      <w:szCs w:val="24"/>
    </w:rPr>
  </w:style>
  <w:style w:type="character" w:customStyle="1" w:styleId="CommentTextChar">
    <w:name w:val="Comment Text Char"/>
    <w:basedOn w:val="DefaultParagraphFont"/>
    <w:link w:val="CommentText"/>
    <w:semiHidden/>
    <w:rPr>
      <w:color w:val="00000A"/>
      <w:sz w:val="24"/>
      <w:szCs w:val="24"/>
    </w:rPr>
  </w:style>
  <w:style w:type="character" w:styleId="CommentReference">
    <w:name w:val="annotation reference"/>
    <w:basedOn w:val="DefaultParagraphFont"/>
    <w:semiHidden/>
    <w:unhideWhenUsed/>
    <w:qFormat/>
    <w:rPr>
      <w:sz w:val="18"/>
      <w:szCs w:val="18"/>
    </w:rPr>
  </w:style>
  <w:style w:type="character" w:styleId="LineNumber">
    <w:name w:val="line number"/>
    <w:basedOn w:val="DefaultParagraphFont"/>
    <w:uiPriority w:val="99"/>
    <w:semiHidden/>
    <w:unhideWhenUsed/>
    <w:rsid w:val="00E5421A"/>
  </w:style>
  <w:style w:type="paragraph" w:styleId="BalloonText">
    <w:name w:val="Balloon Text"/>
    <w:basedOn w:val="Normal"/>
    <w:link w:val="BalloonTextChar"/>
    <w:uiPriority w:val="99"/>
    <w:semiHidden/>
    <w:unhideWhenUsed/>
    <w:rsid w:val="00E5421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421A"/>
    <w:rPr>
      <w:rFonts w:ascii="Times New Roman" w:hAnsi="Times New Roman" w:cs="Times New Roman"/>
      <w:color w:val="00000A"/>
      <w:sz w:val="18"/>
      <w:szCs w:val="18"/>
    </w:rPr>
  </w:style>
  <w:style w:type="paragraph" w:styleId="ListParagraph">
    <w:name w:val="List Paragraph"/>
    <w:basedOn w:val="Normal"/>
    <w:qFormat/>
    <w:rsid w:val="00AF3E8E"/>
    <w:pPr>
      <w:ind w:left="720"/>
      <w:contextualSpacing/>
    </w:pPr>
  </w:style>
  <w:style w:type="paragraph" w:styleId="FootnoteText">
    <w:name w:val="footnote text"/>
    <w:basedOn w:val="Normal"/>
    <w:link w:val="FootnoteTextChar"/>
    <w:uiPriority w:val="99"/>
    <w:unhideWhenUsed/>
    <w:rsid w:val="00117975"/>
    <w:pPr>
      <w:spacing w:after="0" w:line="240" w:lineRule="auto"/>
    </w:pPr>
    <w:rPr>
      <w:sz w:val="24"/>
      <w:szCs w:val="24"/>
    </w:rPr>
  </w:style>
  <w:style w:type="character" w:customStyle="1" w:styleId="FootnoteTextChar">
    <w:name w:val="Footnote Text Char"/>
    <w:basedOn w:val="DefaultParagraphFont"/>
    <w:link w:val="FootnoteText"/>
    <w:uiPriority w:val="99"/>
    <w:rsid w:val="00117975"/>
    <w:rPr>
      <w:color w:val="00000A"/>
      <w:sz w:val="24"/>
      <w:szCs w:val="24"/>
    </w:rPr>
  </w:style>
  <w:style w:type="character" w:styleId="FootnoteReference">
    <w:name w:val="footnote reference"/>
    <w:basedOn w:val="DefaultParagraphFont"/>
    <w:uiPriority w:val="99"/>
    <w:unhideWhenUsed/>
    <w:rsid w:val="00117975"/>
    <w:rPr>
      <w:vertAlign w:val="superscript"/>
    </w:rPr>
  </w:style>
  <w:style w:type="paragraph" w:styleId="CommentSubject">
    <w:name w:val="annotation subject"/>
    <w:basedOn w:val="CommentText"/>
    <w:next w:val="CommentText"/>
    <w:link w:val="CommentSubjectChar"/>
    <w:uiPriority w:val="99"/>
    <w:semiHidden/>
    <w:unhideWhenUsed/>
    <w:rsid w:val="00003B91"/>
    <w:rPr>
      <w:b/>
      <w:bCs/>
      <w:sz w:val="20"/>
      <w:szCs w:val="20"/>
    </w:rPr>
  </w:style>
  <w:style w:type="character" w:customStyle="1" w:styleId="CommentSubjectChar">
    <w:name w:val="Comment Subject Char"/>
    <w:basedOn w:val="CommentTextChar"/>
    <w:link w:val="CommentSubject"/>
    <w:uiPriority w:val="99"/>
    <w:semiHidden/>
    <w:rsid w:val="00003B91"/>
    <w:rPr>
      <w:b/>
      <w:bCs/>
      <w:color w:val="00000A"/>
      <w:sz w:val="24"/>
      <w:szCs w:val="20"/>
    </w:rPr>
  </w:style>
  <w:style w:type="character" w:styleId="PlaceholderText">
    <w:name w:val="Placeholder Text"/>
    <w:basedOn w:val="DefaultParagraphFont"/>
    <w:uiPriority w:val="99"/>
    <w:semiHidden/>
    <w:rsid w:val="0028054E"/>
    <w:rPr>
      <w:color w:val="808080"/>
    </w:rPr>
  </w:style>
  <w:style w:type="character" w:styleId="EndnoteReference">
    <w:name w:val="endnote reference"/>
    <w:basedOn w:val="DefaultParagraphFont"/>
    <w:uiPriority w:val="99"/>
    <w:semiHidden/>
    <w:unhideWhenUsed/>
    <w:rsid w:val="007564B8"/>
    <w:rPr>
      <w:vertAlign w:val="superscript"/>
    </w:rPr>
  </w:style>
  <w:style w:type="paragraph" w:styleId="PlainText">
    <w:name w:val="Plain Text"/>
    <w:basedOn w:val="Normal"/>
    <w:link w:val="PlainTextChar"/>
    <w:qFormat/>
    <w:rsid w:val="00457390"/>
    <w:pPr>
      <w:spacing w:after="0" w:line="240" w:lineRule="auto"/>
    </w:pPr>
    <w:rPr>
      <w:rFonts w:ascii="Courier New" w:hAnsi="Courier New" w:cs="Times New Roman"/>
      <w:sz w:val="32"/>
      <w:szCs w:val="32"/>
      <w:lang w:val="en-GB"/>
    </w:rPr>
  </w:style>
  <w:style w:type="character" w:customStyle="1" w:styleId="PlainTextChar">
    <w:name w:val="Plain Text Char"/>
    <w:basedOn w:val="DefaultParagraphFont"/>
    <w:link w:val="PlainText"/>
    <w:rsid w:val="00457390"/>
    <w:rPr>
      <w:rFonts w:ascii="Courier New" w:hAnsi="Courier New" w:cs="Times New Roman"/>
      <w:color w:val="00000A"/>
      <w:sz w:val="32"/>
      <w:szCs w:val="32"/>
      <w:lang w:val="en-GB"/>
    </w:rPr>
  </w:style>
  <w:style w:type="table" w:customStyle="1" w:styleId="TableGridLight1">
    <w:name w:val="Table Grid Light1"/>
    <w:basedOn w:val="TableNormal"/>
    <w:uiPriority w:val="40"/>
    <w:rsid w:val="00BB04AA"/>
    <w:rPr>
      <w:rFonts w:asciiTheme="minorHAnsi" w:eastAsia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ocumentMap">
    <w:name w:val="Document Map"/>
    <w:basedOn w:val="Normal"/>
    <w:link w:val="DocumentMapChar"/>
    <w:uiPriority w:val="99"/>
    <w:semiHidden/>
    <w:unhideWhenUsed/>
    <w:rsid w:val="00197686"/>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97686"/>
    <w:rPr>
      <w:rFonts w:ascii="Times New Roman" w:hAnsi="Times New Roman" w:cs="Times New Roman"/>
      <w:color w:val="00000A"/>
      <w:sz w:val="24"/>
      <w:szCs w:val="24"/>
    </w:rPr>
  </w:style>
  <w:style w:type="paragraph" w:styleId="Header">
    <w:name w:val="header"/>
    <w:basedOn w:val="Normal"/>
    <w:link w:val="HeaderChar"/>
    <w:uiPriority w:val="99"/>
    <w:unhideWhenUsed/>
    <w:rsid w:val="00B547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741"/>
    <w:rPr>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390161">
      <w:bodyDiv w:val="1"/>
      <w:marLeft w:val="0"/>
      <w:marRight w:val="0"/>
      <w:marTop w:val="0"/>
      <w:marBottom w:val="0"/>
      <w:divBdr>
        <w:top w:val="none" w:sz="0" w:space="0" w:color="auto"/>
        <w:left w:val="none" w:sz="0" w:space="0" w:color="auto"/>
        <w:bottom w:val="none" w:sz="0" w:space="0" w:color="auto"/>
        <w:right w:val="none" w:sz="0" w:space="0" w:color="auto"/>
      </w:divBdr>
    </w:div>
    <w:div w:id="1844197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asello.R@fu-berlin.de" TargetMode="Externa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948A8-E045-6347-9DDB-FF04CD60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95113</Words>
  <Characters>542149</Characters>
  <Application>Microsoft Office Word</Application>
  <DocSecurity>0</DocSecurity>
  <Lines>4517</Lines>
  <Paragraphs>1271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Freie Universitaet Berlin</Company>
  <LinksUpToDate>false</LinksUpToDate>
  <CharactersWithSpaces>635991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Tomasello, Rosario</dc:creator>
  <dc:description/>
  <cp:lastModifiedBy>Max Garagnani</cp:lastModifiedBy>
  <cp:revision>4</cp:revision>
  <cp:lastPrinted>2018-09-25T11:09:00Z</cp:lastPrinted>
  <dcterms:created xsi:type="dcterms:W3CDTF">2018-09-25T11:09:00Z</dcterms:created>
  <dcterms:modified xsi:type="dcterms:W3CDTF">2018-10-04T10:39:00Z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Freie Universitaet Berlin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http://www.zotero.org/styles/neuroimage</vt:lpwstr>
  </property>
  <property fmtid="{D5CDD505-2E9C-101B-9397-08002B2CF9AE}" pid="8" name="Mendeley Document_1">
    <vt:lpwstr>True</vt:lpwstr>
  </property>
  <property fmtid="{D5CDD505-2E9C-101B-9397-08002B2CF9AE}" pid="9" name="Mendeley Recent Style Id 0_1">
    <vt:lpwstr>http://www.zotero.org/styles/american-political-science-association</vt:lpwstr>
  </property>
  <property fmtid="{D5CDD505-2E9C-101B-9397-08002B2CF9AE}" pid="10" name="Mendeley Recent Style Id 1_1">
    <vt:lpwstr>http://www.zotero.org/styles/apa</vt:lpwstr>
  </property>
  <property fmtid="{D5CDD505-2E9C-101B-9397-08002B2CF9AE}" pid="11" name="Mendeley Recent Style Id 2_1">
    <vt:lpwstr>http://www.zotero.org/styles/american-sociological-association</vt:lpwstr>
  </property>
  <property fmtid="{D5CDD505-2E9C-101B-9397-08002B2CF9AE}" pid="12" name="Mendeley Recent Style Id 3_1">
    <vt:lpwstr>http://www.zotero.org/styles/chicago-author-date</vt:lpwstr>
  </property>
  <property fmtid="{D5CDD505-2E9C-101B-9397-08002B2CF9AE}" pid="13" name="Mendeley Recent Style Id 4_1">
    <vt:lpwstr>http://www.zotero.org/styles/harvard1</vt:lpwstr>
  </property>
  <property fmtid="{D5CDD505-2E9C-101B-9397-08002B2CF9AE}" pid="14" name="Mendeley Recent Style Id 5_1">
    <vt:lpwstr>http://www.zotero.org/styles/ieee</vt:lpwstr>
  </property>
  <property fmtid="{D5CDD505-2E9C-101B-9397-08002B2CF9AE}" pid="15" name="Mendeley Recent Style Id 6_1">
    <vt:lpwstr>http://www.zotero.org/styles/modern-humanities-research-association</vt:lpwstr>
  </property>
  <property fmtid="{D5CDD505-2E9C-101B-9397-08002B2CF9AE}" pid="16" name="Mendeley Recent Style Id 7_1">
    <vt:lpwstr>http://www.zotero.org/styles/nature</vt:lpwstr>
  </property>
  <property fmtid="{D5CDD505-2E9C-101B-9397-08002B2CF9AE}" pid="17" name="Mendeley Recent Style Id 8_1">
    <vt:lpwstr>http://www.zotero.org/styles/neuroimage</vt:lpwstr>
  </property>
  <property fmtid="{D5CDD505-2E9C-101B-9397-08002B2CF9AE}" pid="18" name="Mendeley Recent Style Id 9_1">
    <vt:lpwstr>http://www.zotero.org/styles/neuropsychologia</vt:lpwstr>
  </property>
  <property fmtid="{D5CDD505-2E9C-101B-9397-08002B2CF9AE}" pid="19" name="Mendeley Recent Style Name 0_1">
    <vt:lpwstr>American Political Science Association</vt:lpwstr>
  </property>
  <property fmtid="{D5CDD505-2E9C-101B-9397-08002B2CF9AE}" pid="20" name="Mendeley Recent Style Name 1_1">
    <vt:lpwstr>American Psychological Association 6th edition</vt:lpwstr>
  </property>
  <property fmtid="{D5CDD505-2E9C-101B-9397-08002B2CF9AE}" pid="21" name="Mendeley Recent Style Name 2_1">
    <vt:lpwstr>American Sociological Association</vt:lpwstr>
  </property>
  <property fmtid="{D5CDD505-2E9C-101B-9397-08002B2CF9AE}" pid="22" name="Mendeley Recent Style Name 3_1">
    <vt:lpwstr>Chicago Manual of Style 16th edition (author-date)</vt:lpwstr>
  </property>
  <property fmtid="{D5CDD505-2E9C-101B-9397-08002B2CF9AE}" pid="23" name="Mendeley Recent Style Name 4_1">
    <vt:lpwstr>Harvard Reference format 1 (author-date)</vt:lpwstr>
  </property>
  <property fmtid="{D5CDD505-2E9C-101B-9397-08002B2CF9AE}" pid="24" name="Mendeley Recent Style Name 5_1">
    <vt:lpwstr>IEEE</vt:lpwstr>
  </property>
  <property fmtid="{D5CDD505-2E9C-101B-9397-08002B2CF9AE}" pid="25" name="Mendeley Recent Style Name 6_1">
    <vt:lpwstr>Modern Humanities Research Association 3rd edition (note with bibliography)</vt:lpwstr>
  </property>
  <property fmtid="{D5CDD505-2E9C-101B-9397-08002B2CF9AE}" pid="26" name="Mendeley Recent Style Name 7_1">
    <vt:lpwstr>Nature</vt:lpwstr>
  </property>
  <property fmtid="{D5CDD505-2E9C-101B-9397-08002B2CF9AE}" pid="27" name="Mendeley Recent Style Name 8_1">
    <vt:lpwstr>NeuroImage</vt:lpwstr>
  </property>
  <property fmtid="{D5CDD505-2E9C-101B-9397-08002B2CF9AE}" pid="28" name="Mendeley Recent Style Name 9_1">
    <vt:lpwstr>Neuropsychologia</vt:lpwstr>
  </property>
  <property fmtid="{D5CDD505-2E9C-101B-9397-08002B2CF9AE}" pid="29" name="ScaleCrop">
    <vt:bool>false</vt:bool>
  </property>
  <property fmtid="{D5CDD505-2E9C-101B-9397-08002B2CF9AE}" pid="30" name="ShareDoc">
    <vt:bool>false</vt:bool>
  </property>
  <property fmtid="{D5CDD505-2E9C-101B-9397-08002B2CF9AE}" pid="31" name="Mendeley Unique User Id_1">
    <vt:lpwstr>8314b49c-88e4-3f2b-a85d-3a8c2e19f3ee</vt:lpwstr>
  </property>
</Properties>
</file>